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0"/>
          <w:szCs w:val="44"/>
        </w:rPr>
      </w:pPr>
      <w:bookmarkStart w:id="0" w:name="_Hlk49176733"/>
      <w:r>
        <w:rPr>
          <w:rFonts w:hint="eastAsia" w:ascii="黑体" w:hAnsi="黑体" w:eastAsia="黑体"/>
          <w:sz w:val="40"/>
          <w:szCs w:val="44"/>
          <w:lang w:eastAsia="zh-CN"/>
        </w:rPr>
        <w:t>浙江解氏新材料股份有限公司</w:t>
      </w:r>
      <w:r>
        <w:rPr>
          <w:rFonts w:ascii="黑体" w:hAnsi="黑体" w:eastAsia="黑体"/>
          <w:sz w:val="40"/>
          <w:szCs w:val="44"/>
        </w:rPr>
        <w:br w:type="textWrapping"/>
      </w:r>
      <w:r>
        <w:rPr>
          <w:rFonts w:hint="eastAsia" w:ascii="黑体" w:hAnsi="黑体" w:eastAsia="黑体"/>
          <w:sz w:val="40"/>
          <w:szCs w:val="44"/>
          <w:lang w:val="en-US" w:eastAsia="zh-CN"/>
        </w:rPr>
        <w:t>质量诚信</w:t>
      </w:r>
      <w:r>
        <w:rPr>
          <w:rFonts w:hint="eastAsia" w:ascii="黑体" w:hAnsi="黑体" w:eastAsia="黑体"/>
          <w:sz w:val="40"/>
          <w:szCs w:val="44"/>
        </w:rPr>
        <w:t>报告</w:t>
      </w:r>
    </w:p>
    <w:bookmarkEnd w:id="0"/>
    <w:p>
      <w:pPr>
        <w:spacing w:before="312" w:beforeLines="100" w:after="312" w:afterLines="100" w:line="360" w:lineRule="auto"/>
        <w:jc w:val="center"/>
        <w:outlineLvl w:val="0"/>
        <w:rPr>
          <w:rFonts w:ascii="黑体" w:hAnsi="黑体" w:eastAsia="黑体" w:cs="楷体"/>
          <w:bCs/>
          <w:color w:val="000000"/>
          <w:kern w:val="32"/>
          <w:sz w:val="32"/>
          <w:szCs w:val="40"/>
        </w:rPr>
      </w:pPr>
      <w:bookmarkStart w:id="1" w:name="_Toc48809460"/>
      <w:bookmarkStart w:id="2" w:name="_Toc11669253"/>
      <w:r>
        <w:rPr>
          <w:rFonts w:hint="eastAsia" w:ascii="黑体" w:hAnsi="黑体" w:eastAsia="黑体" w:cs="楷体"/>
          <w:bCs/>
          <w:color w:val="000000"/>
          <w:kern w:val="32"/>
          <w:sz w:val="32"/>
          <w:szCs w:val="40"/>
        </w:rPr>
        <w:t>第一部分 前言</w:t>
      </w:r>
      <w:bookmarkEnd w:id="1"/>
    </w:p>
    <w:p>
      <w:pPr>
        <w:spacing w:line="360" w:lineRule="auto"/>
        <w:jc w:val="left"/>
        <w:outlineLvl w:val="1"/>
        <w:rPr>
          <w:rFonts w:ascii="宋体" w:hAnsi="宋体" w:eastAsia="宋体" w:cs="楷体"/>
          <w:b/>
          <w:color w:val="000000"/>
          <w:sz w:val="28"/>
          <w:szCs w:val="36"/>
        </w:rPr>
      </w:pPr>
      <w:bookmarkStart w:id="3" w:name="_Toc48809461"/>
      <w:r>
        <w:rPr>
          <w:rFonts w:hint="eastAsia" w:ascii="宋体" w:hAnsi="宋体" w:eastAsia="宋体" w:cs="楷体"/>
          <w:b/>
          <w:color w:val="000000"/>
          <w:sz w:val="28"/>
          <w:szCs w:val="36"/>
        </w:rPr>
        <w:t>一、报告编制规范</w:t>
      </w:r>
      <w:bookmarkEnd w:id="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rPr>
        <w:t>公司</w:t>
      </w:r>
      <w:r>
        <w:rPr>
          <w:rFonts w:hint="eastAsia" w:ascii="宋体" w:hAnsi="宋体" w:eastAsia="宋体" w:cs="微软雅黑"/>
          <w:color w:val="000000"/>
          <w:spacing w:val="-4"/>
          <w:sz w:val="24"/>
          <w:szCs w:val="28"/>
        </w:rPr>
        <w:t>严格遵守国家有关法律、法规及行业标准、规程，依据客观性、时效性、可验性的原则编制《</w:t>
      </w:r>
      <w:r>
        <w:rPr>
          <w:rFonts w:hint="eastAsia" w:ascii="宋体" w:hAnsi="宋体" w:eastAsia="宋体" w:cs="微软雅黑"/>
          <w:color w:val="000000"/>
          <w:spacing w:val="-4"/>
          <w:sz w:val="24"/>
          <w:szCs w:val="28"/>
          <w:lang w:eastAsia="zh-CN"/>
        </w:rPr>
        <w:t>浙江解氏新材料股份有限公司</w:t>
      </w:r>
      <w:r>
        <w:rPr>
          <w:rFonts w:hint="eastAsia" w:ascii="宋体" w:hAnsi="宋体" w:eastAsia="宋体" w:cs="微软雅黑"/>
          <w:color w:val="000000"/>
          <w:spacing w:val="-4"/>
          <w:sz w:val="24"/>
          <w:szCs w:val="28"/>
        </w:rPr>
        <w:t xml:space="preserve"> 质量诚信报告》，旨在使社会各界了解本公司的社会责任的理念和工作开展情况。</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本报告综合评价了公司在质量诚信体系建设的基本情况，是公司贯彻落实国务院《质量发展纲要（2011-2020）》，增强质量诚信自律意识、建立健全质量安全长效机制取得的丰硕成果。</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（一）报告范围</w:t>
      </w:r>
    </w:p>
    <w:bookmarkEnd w:id="2"/>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ascii="宋体" w:hAnsi="宋体" w:eastAsia="宋体" w:cs="微软雅黑"/>
          <w:color w:val="000000"/>
          <w:spacing w:val="-4"/>
          <w:sz w:val="24"/>
          <w:szCs w:val="28"/>
        </w:rPr>
        <w:t>报告的组织范围：</w:t>
      </w:r>
      <w:r>
        <w:rPr>
          <w:rFonts w:hint="eastAsia" w:ascii="宋体" w:hAnsi="宋体" w:eastAsia="宋体" w:cs="微软雅黑"/>
          <w:color w:val="000000"/>
          <w:spacing w:val="-4"/>
          <w:sz w:val="24"/>
          <w:szCs w:val="28"/>
          <w:lang w:eastAsia="zh-CN"/>
        </w:rPr>
        <w:t>浙江解氏新材料股份有限公司</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报告的编制依据：GB/T 29467-2012《企业质量诚信管理实施规范》、GB/T 31870-2015《企业质量信用报告编写指南》</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报告的时间范围：202</w:t>
      </w:r>
      <w:r>
        <w:rPr>
          <w:rFonts w:hint="eastAsia" w:ascii="宋体" w:hAnsi="宋体" w:eastAsia="宋体" w:cs="微软雅黑"/>
          <w:color w:val="000000"/>
          <w:spacing w:val="-4"/>
          <w:sz w:val="24"/>
          <w:szCs w:val="28"/>
          <w:lang w:val="en-US" w:eastAsia="zh-CN"/>
        </w:rPr>
        <w:t>2</w:t>
      </w:r>
      <w:r>
        <w:rPr>
          <w:rFonts w:hint="eastAsia" w:ascii="宋体" w:hAnsi="宋体" w:eastAsia="宋体" w:cs="微软雅黑"/>
          <w:color w:val="000000"/>
          <w:spacing w:val="-4"/>
          <w:sz w:val="24"/>
          <w:szCs w:val="28"/>
        </w:rPr>
        <w:t>年1月-12月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报告的发布周期：年度发布</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（二）报告内容客观性说明</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本报告基于综合汇总、整理公司自成立以来的质量诚信工作相关数据，且数据、信息全部真实、可信，本公司对报告内容的客观性负责并主动接受社会监督，特此声明。</w:t>
      </w:r>
    </w:p>
    <w:p>
      <w:pPr>
        <w:spacing w:before="156" w:beforeLines="50" w:line="360" w:lineRule="auto"/>
        <w:outlineLvl w:val="1"/>
        <w:rPr>
          <w:rFonts w:ascii="宋体" w:hAnsi="宋体" w:eastAsia="宋体" w:cs="楷体"/>
          <w:b/>
          <w:color w:val="000000"/>
          <w:sz w:val="28"/>
          <w:szCs w:val="32"/>
        </w:rPr>
      </w:pPr>
      <w:bookmarkStart w:id="4" w:name="_Toc48809462"/>
      <w:bookmarkStart w:id="5" w:name="_Toc11669255"/>
      <w:r>
        <w:rPr>
          <w:rFonts w:hint="eastAsia" w:ascii="宋体" w:hAnsi="宋体" w:eastAsia="宋体" w:cs="楷体"/>
          <w:b/>
          <w:color w:val="000000"/>
          <w:sz w:val="28"/>
          <w:szCs w:val="32"/>
        </w:rPr>
        <w:t>二、致辞</w:t>
      </w:r>
      <w:bookmarkEnd w:id="4"/>
      <w:bookmarkEnd w:id="5"/>
    </w:p>
    <w:p>
      <w:pPr>
        <w:spacing w:line="360" w:lineRule="auto"/>
        <w:ind w:firstLine="480" w:firstLineChars="200"/>
        <w:rPr>
          <w:rFonts w:hint="eastAsia" w:ascii="宋体" w:hAnsi="宋体" w:eastAsia="宋体" w:cs="宋体"/>
          <w:kern w:val="0"/>
          <w:sz w:val="24"/>
          <w:szCs w:val="24"/>
          <w:lang w:val="zh-CN"/>
        </w:rPr>
      </w:pPr>
      <w:bookmarkStart w:id="6" w:name="_Toc11669257"/>
      <w:bookmarkStart w:id="7" w:name="_Toc451594565"/>
      <w:bookmarkStart w:id="8" w:name="_Toc48809463"/>
      <w:r>
        <w:rPr>
          <w:rFonts w:hint="eastAsia" w:ascii="宋体" w:hAnsi="宋体" w:eastAsia="宋体" w:cs="宋体"/>
          <w:kern w:val="0"/>
          <w:sz w:val="24"/>
          <w:szCs w:val="24"/>
          <w:lang w:val="zh-CN"/>
        </w:rPr>
        <w:t>八十年代，人们刚刚摆脱十年浩劫的桎梏，迎来了迅猛的改革潮流；八十年代，一个新旧思想潮流碰撞的年代；八十年代，一个人们每天都有新字眼、新事物、新思想冲击着头脑和眼球的年代，也正是在这样一一个年代，诞生了无数改革创新，勇于开拓的时代“弄潮儿”，解氏集团的创始人也正是以高屋建瓴的战略思维酝酿出一个企业的诞生。</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坚持“唯有正道才能长存”的创业理念，抒写创业传奇，创新求变，铸就行业辉煌，三十年的不懈努力，成就今日解氏化学。解氏新材料经过多年的艰苦创业、开拓进取，取得了优越的成绩。在发展中，公司创建了独具特色的文化体系，明确了自身长远发展目标，并着力营造良好的经营环境，积极履行着社会责任。</w:t>
      </w:r>
    </w:p>
    <w:p>
      <w:pPr>
        <w:spacing w:before="156" w:beforeLines="50" w:line="360" w:lineRule="auto"/>
        <w:outlineLvl w:val="1"/>
        <w:rPr>
          <w:rFonts w:ascii="宋体" w:hAnsi="宋体" w:eastAsia="宋体" w:cs="楷体"/>
          <w:b/>
          <w:color w:val="000000"/>
          <w:sz w:val="28"/>
          <w:szCs w:val="36"/>
        </w:rPr>
      </w:pPr>
      <w:r>
        <w:rPr>
          <w:rFonts w:hint="eastAsia" w:ascii="宋体" w:hAnsi="宋体" w:eastAsia="宋体" w:cs="楷体"/>
          <w:b/>
          <w:color w:val="000000"/>
          <w:sz w:val="28"/>
          <w:szCs w:val="36"/>
        </w:rPr>
        <w:t>三、公司简介</w:t>
      </w:r>
      <w:bookmarkEnd w:id="6"/>
      <w:bookmarkEnd w:id="7"/>
      <w:bookmarkEnd w:id="8"/>
    </w:p>
    <w:p>
      <w:pPr>
        <w:spacing w:line="360" w:lineRule="auto"/>
        <w:ind w:firstLine="480"/>
        <w:rPr>
          <w:rFonts w:hint="eastAsia" w:ascii="宋体" w:hAnsi="宋体" w:cs="宋体"/>
          <w:sz w:val="24"/>
          <w:highlight w:val="none"/>
          <w:lang w:eastAsia="zh-CN"/>
        </w:rPr>
      </w:pPr>
      <w:r>
        <w:rPr>
          <w:rFonts w:hint="eastAsia" w:ascii="宋体" w:hAnsi="宋体" w:cs="宋体"/>
          <w:sz w:val="24"/>
          <w:highlight w:val="none"/>
          <w:lang w:eastAsia="zh-CN"/>
        </w:rPr>
        <w:t>浙江解氏新材料股份有限公司创建于1989年，是一家以开发、生产有机氟化工产品为核心，集科、工、贸为一体的高科技公司。20余年的风雨历练，坚守使命和信念、勇于开拓，公司经营规模不断扩大，分别在江苏盐城市阜宁澳洋工业园和上虞市杭州湾精细化工园区建立生产基地，总占地面积达到15万平方米。</w:t>
      </w:r>
    </w:p>
    <w:p>
      <w:pPr>
        <w:spacing w:line="360" w:lineRule="auto"/>
        <w:ind w:firstLine="480"/>
        <w:rPr>
          <w:rFonts w:hint="eastAsia" w:ascii="宋体" w:hAnsi="宋体" w:cs="宋体"/>
          <w:sz w:val="24"/>
          <w:highlight w:val="none"/>
          <w:lang w:eastAsia="zh-CN"/>
        </w:rPr>
      </w:pPr>
      <w:r>
        <w:rPr>
          <w:rFonts w:hint="eastAsia" w:ascii="宋体" w:hAnsi="宋体" w:cs="宋体"/>
          <w:sz w:val="24"/>
          <w:highlight w:val="none"/>
          <w:lang w:eastAsia="zh-CN"/>
        </w:rPr>
        <w:t>公司一贯重视产品质量管理。拥有先进的生产设备、精良的检测设备以及完善的环保系统。本公司擅长于重氮化、硝化、氢化、氨化、氰化、酰化、羟基化、烷基化、还原等反应。拥有大型中试车间，生产车间设备由50L至5000L共300多个，能接受各类产品与各类反应的定制。公司已通过了ISO</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900</w:t>
      </w:r>
      <w:r>
        <w:rPr>
          <w:rFonts w:hint="eastAsia" w:ascii="宋体" w:hAnsi="宋体" w:cs="宋体"/>
          <w:sz w:val="24"/>
          <w:highlight w:val="none"/>
          <w:lang w:val="en-US" w:eastAsia="zh-CN"/>
        </w:rPr>
        <w:t>1</w:t>
      </w:r>
      <w:r>
        <w:rPr>
          <w:rFonts w:hint="eastAsia" w:ascii="宋体" w:hAnsi="宋体" w:cs="宋体"/>
          <w:sz w:val="24"/>
          <w:highlight w:val="none"/>
          <w:lang w:eastAsia="zh-CN"/>
        </w:rPr>
        <w:t>质量体系认证、ISO</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1400</w:t>
      </w:r>
      <w:r>
        <w:rPr>
          <w:rFonts w:hint="eastAsia" w:ascii="宋体" w:hAnsi="宋体" w:cs="宋体"/>
          <w:sz w:val="24"/>
          <w:highlight w:val="none"/>
          <w:lang w:val="en-US" w:eastAsia="zh-CN"/>
        </w:rPr>
        <w:t>1</w:t>
      </w:r>
      <w:r>
        <w:rPr>
          <w:rFonts w:hint="eastAsia" w:ascii="宋体" w:hAnsi="宋体" w:cs="宋体"/>
          <w:sz w:val="24"/>
          <w:highlight w:val="none"/>
          <w:lang w:eastAsia="zh-CN"/>
        </w:rPr>
        <w:t>环境管理体系、ISO</w:t>
      </w:r>
      <w:r>
        <w:rPr>
          <w:rFonts w:hint="eastAsia" w:ascii="宋体" w:hAnsi="宋体" w:cs="宋体"/>
          <w:sz w:val="24"/>
          <w:highlight w:val="none"/>
          <w:lang w:val="en-US" w:eastAsia="zh-CN"/>
        </w:rPr>
        <w:t xml:space="preserve"> 45001职业健康安全</w:t>
      </w:r>
      <w:r>
        <w:rPr>
          <w:rFonts w:hint="eastAsia" w:ascii="宋体" w:hAnsi="宋体" w:cs="宋体"/>
          <w:sz w:val="24"/>
          <w:highlight w:val="none"/>
          <w:lang w:eastAsia="zh-CN"/>
        </w:rPr>
        <w:t>管理体系，可为客户提供从公斤级到吨级的优质产品。</w:t>
      </w:r>
    </w:p>
    <w:p>
      <w:pPr>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公司主要生产1，3-二氟苯、氟硼酸钾、氟硼酸钠等二百多种品种，产品广泛用于医药、农药、液晶材料及有机氟基础原料等领域。建立了遍布全国各地及欧美、日本东南亚等海内外市场的营销网络，保障为用户提供及时、专业的服务。</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2019年，企业被评为“2019年上虞区隐形冠军企业”；</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2020年，企业被评为“自营出口先进企业”；</w:t>
      </w:r>
    </w:p>
    <w:p>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2020年，企业被评为“绍兴市上虞区劳动关系和谐企业”；</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2022年，企业被评为“2022年度工业综合实力百强企业”；</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2021年，企业被评为“国家高新技术企业”（复审）；</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2021年，企业被评为“浙江省“专精特新”中小企业”；</w:t>
      </w:r>
    </w:p>
    <w:p>
      <w:pPr>
        <w:spacing w:line="360"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2021年，企业被评为“纳税先进企业”；</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2022年，企业被评为“2022年上虞区隐形冠军企业”；</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2022年，企业获得中国商业联合会科学技术进步奖“一等奖”；</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2022年，企业参与的“六氟环氧丙烷”国家标准通过认证；</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2022年，企业被评为“2022年度高质量发展先进企业”。</w:t>
      </w:r>
    </w:p>
    <w:p>
      <w:pPr>
        <w:spacing w:line="360" w:lineRule="auto"/>
        <w:ind w:firstLine="480" w:firstLineChars="200"/>
        <w:rPr>
          <w:rFonts w:ascii="宋体" w:hAnsi="宋体" w:eastAsia="宋体" w:cs="微软雅黑"/>
          <w:color w:val="000000"/>
          <w:spacing w:val="-4"/>
          <w:sz w:val="24"/>
          <w:szCs w:val="28"/>
        </w:rPr>
      </w:pPr>
      <w:r>
        <w:rPr>
          <w:rFonts w:hint="eastAsia" w:ascii="宋体" w:hAnsi="宋体" w:cs="宋体"/>
          <w:sz w:val="24"/>
          <w:highlight w:val="none"/>
          <w:lang w:eastAsia="zh-CN"/>
        </w:rPr>
        <w:t>展望未来，公司将一如既往地以“绿色化工、开创未来”为理念，以市场为导向，努力打造客户信赖、社会尊重的有机氟生产制造基地</w:t>
      </w:r>
      <w:r>
        <w:rPr>
          <w:rFonts w:hint="eastAsia" w:ascii="宋体" w:hAnsi="宋体" w:cs="宋体"/>
          <w:sz w:val="24"/>
          <w:highlight w:val="none"/>
        </w:rPr>
        <w:t>。</w:t>
      </w:r>
    </w:p>
    <w:p>
      <w:pPr>
        <w:widowControl/>
        <w:jc w:val="left"/>
        <w:rPr>
          <w:rFonts w:ascii="黑体" w:hAnsi="黑体" w:eastAsia="黑体" w:cs="宋体"/>
          <w:color w:val="000000"/>
          <w:spacing w:val="-4"/>
          <w:sz w:val="32"/>
          <w:szCs w:val="28"/>
        </w:rPr>
      </w:pPr>
      <w:bookmarkStart w:id="9" w:name="_Toc48809464"/>
      <w:r>
        <w:rPr>
          <w:rFonts w:ascii="黑体" w:hAnsi="黑体" w:eastAsia="黑体" w:cs="宋体"/>
          <w:color w:val="000000"/>
          <w:spacing w:val="-4"/>
          <w:sz w:val="32"/>
          <w:szCs w:val="28"/>
        </w:rPr>
        <w:br w:type="page"/>
      </w:r>
    </w:p>
    <w:p>
      <w:pPr>
        <w:spacing w:before="312" w:beforeLines="100" w:after="312" w:afterLines="100" w:line="360" w:lineRule="auto"/>
        <w:jc w:val="center"/>
        <w:outlineLvl w:val="0"/>
        <w:rPr>
          <w:rFonts w:ascii="黑体" w:hAnsi="黑体" w:eastAsia="黑体" w:cs="宋体"/>
          <w:color w:val="000000"/>
          <w:spacing w:val="-4"/>
          <w:sz w:val="32"/>
          <w:szCs w:val="28"/>
        </w:rPr>
      </w:pPr>
      <w:r>
        <w:rPr>
          <w:rFonts w:hint="eastAsia" w:ascii="黑体" w:hAnsi="黑体" w:eastAsia="黑体" w:cs="宋体"/>
          <w:color w:val="000000"/>
          <w:spacing w:val="-4"/>
          <w:sz w:val="32"/>
          <w:szCs w:val="28"/>
        </w:rPr>
        <w:t>第二部分 报告正文</w:t>
      </w:r>
      <w:bookmarkEnd w:id="9"/>
    </w:p>
    <w:p>
      <w:pPr>
        <w:spacing w:line="360" w:lineRule="auto"/>
        <w:outlineLvl w:val="1"/>
        <w:rPr>
          <w:rFonts w:ascii="宋体" w:hAnsi="宋体" w:eastAsia="宋体" w:cs="微软雅黑"/>
          <w:b/>
          <w:color w:val="000000"/>
          <w:spacing w:val="-4"/>
          <w:sz w:val="28"/>
          <w:szCs w:val="28"/>
        </w:rPr>
      </w:pPr>
      <w:bookmarkStart w:id="10" w:name="_Toc48809465"/>
      <w:r>
        <w:rPr>
          <w:rFonts w:hint="eastAsia" w:ascii="宋体" w:hAnsi="宋体" w:eastAsia="宋体" w:cs="微软雅黑"/>
          <w:b/>
          <w:color w:val="000000"/>
          <w:spacing w:val="-4"/>
          <w:sz w:val="28"/>
          <w:szCs w:val="28"/>
        </w:rPr>
        <w:t>一、企业质量理念</w:t>
      </w:r>
      <w:bookmarkEnd w:id="10"/>
    </w:p>
    <w:p>
      <w:pPr>
        <w:pStyle w:val="40"/>
        <w:ind w:firstLine="480"/>
        <w:rPr>
          <w:rFonts w:ascii="宋体" w:hAnsi="宋体" w:eastAsia="宋体" w:cs="微软雅黑"/>
          <w:color w:val="000000"/>
          <w:spacing w:val="-4"/>
          <w:sz w:val="24"/>
          <w:szCs w:val="28"/>
        </w:rPr>
      </w:pPr>
      <w:bookmarkStart w:id="11" w:name="_Toc11669259"/>
      <w:bookmarkStart w:id="12" w:name="_Toc451594567"/>
      <w:r>
        <w:rPr>
          <w:rFonts w:hint="eastAsia" w:ascii="宋体" w:hAnsi="宋体" w:eastAsia="宋体" w:cs="微软雅黑"/>
          <w:color w:val="000000"/>
          <w:spacing w:val="-4"/>
          <w:sz w:val="24"/>
          <w:szCs w:val="28"/>
        </w:rPr>
        <w:t>公司以“</w:t>
      </w:r>
      <w:r>
        <w:rPr>
          <w:rFonts w:hint="eastAsia" w:cs="宋体"/>
          <w:b/>
          <w:highlight w:val="none"/>
        </w:rPr>
        <w:t>质量至上</w:t>
      </w:r>
      <w:r>
        <w:rPr>
          <w:rFonts w:hint="eastAsia" w:cs="宋体"/>
          <w:b/>
          <w:highlight w:val="none"/>
          <w:lang w:eastAsia="zh-CN"/>
        </w:rPr>
        <w:t>、</w:t>
      </w:r>
      <w:r>
        <w:rPr>
          <w:rFonts w:hint="eastAsia" w:cs="宋体"/>
          <w:b/>
          <w:highlight w:val="none"/>
        </w:rPr>
        <w:t>优质服务</w:t>
      </w:r>
      <w:r>
        <w:rPr>
          <w:rFonts w:hint="eastAsia" w:cs="宋体"/>
          <w:b/>
          <w:highlight w:val="none"/>
          <w:lang w:eastAsia="zh-CN"/>
        </w:rPr>
        <w:t>；</w:t>
      </w:r>
      <w:r>
        <w:rPr>
          <w:rFonts w:hint="eastAsia" w:cs="宋体"/>
          <w:b/>
          <w:highlight w:val="none"/>
        </w:rPr>
        <w:t>持续改进</w:t>
      </w:r>
      <w:r>
        <w:rPr>
          <w:rFonts w:hint="eastAsia" w:cs="宋体"/>
          <w:b/>
          <w:highlight w:val="none"/>
          <w:lang w:eastAsia="zh-CN"/>
        </w:rPr>
        <w:t>、</w:t>
      </w:r>
      <w:r>
        <w:rPr>
          <w:rFonts w:hint="eastAsia" w:cs="宋体"/>
          <w:b/>
          <w:highlight w:val="none"/>
        </w:rPr>
        <w:t>顾客满意</w:t>
      </w:r>
      <w:r>
        <w:rPr>
          <w:rFonts w:hint="eastAsia" w:cs="宋体"/>
          <w:b/>
          <w:highlight w:val="none"/>
          <w:lang w:eastAsia="zh-CN"/>
        </w:rPr>
        <w:t>；</w:t>
      </w:r>
      <w:r>
        <w:rPr>
          <w:rFonts w:hint="eastAsia" w:cs="宋体"/>
          <w:b/>
          <w:highlight w:val="none"/>
        </w:rPr>
        <w:t>预防污染</w:t>
      </w:r>
      <w:r>
        <w:rPr>
          <w:rFonts w:hint="eastAsia" w:cs="宋体"/>
          <w:b/>
          <w:highlight w:val="none"/>
          <w:lang w:eastAsia="zh-CN"/>
        </w:rPr>
        <w:t>、</w:t>
      </w:r>
      <w:r>
        <w:rPr>
          <w:rFonts w:hint="eastAsia" w:cs="宋体"/>
          <w:b/>
          <w:highlight w:val="none"/>
        </w:rPr>
        <w:t>保护环境</w:t>
      </w:r>
      <w:r>
        <w:rPr>
          <w:rFonts w:hint="eastAsia" w:cs="宋体"/>
          <w:b/>
          <w:highlight w:val="none"/>
          <w:lang w:eastAsia="zh-CN"/>
        </w:rPr>
        <w:t>；</w:t>
      </w:r>
      <w:r>
        <w:rPr>
          <w:rFonts w:hint="eastAsia" w:cs="宋体"/>
          <w:b/>
          <w:highlight w:val="none"/>
        </w:rPr>
        <w:t>关爱员工</w:t>
      </w:r>
      <w:r>
        <w:rPr>
          <w:rFonts w:hint="eastAsia" w:cs="宋体"/>
          <w:b/>
          <w:highlight w:val="none"/>
          <w:lang w:eastAsia="zh-CN"/>
        </w:rPr>
        <w:t>、</w:t>
      </w:r>
      <w:r>
        <w:rPr>
          <w:rFonts w:hint="eastAsia" w:cs="宋体"/>
          <w:b/>
          <w:highlight w:val="none"/>
        </w:rPr>
        <w:t>健康安全</w:t>
      </w:r>
      <w:r>
        <w:rPr>
          <w:rFonts w:hint="eastAsia" w:ascii="宋体" w:hAnsi="宋体" w:eastAsia="宋体" w:cs="微软雅黑"/>
          <w:color w:val="000000"/>
          <w:spacing w:val="-4"/>
          <w:sz w:val="24"/>
          <w:szCs w:val="28"/>
        </w:rPr>
        <w:t>”为管理方针，将质量作为企业生存和发展的根本，以过程质量控制为重点，以顾客满意为宗旨，将质量管理理念融入企业整个生产经营中，质量意识深入每一位员工心中并落实到具体的工作中。</w:t>
      </w:r>
    </w:p>
    <w:bookmarkEnd w:id="11"/>
    <w:bookmarkEnd w:id="12"/>
    <w:p>
      <w:pPr>
        <w:spacing w:line="360" w:lineRule="auto"/>
        <w:outlineLvl w:val="1"/>
        <w:rPr>
          <w:rFonts w:ascii="宋体" w:hAnsi="宋体" w:eastAsia="宋体" w:cs="楷体"/>
          <w:b/>
          <w:color w:val="000000"/>
          <w:sz w:val="28"/>
          <w:szCs w:val="32"/>
        </w:rPr>
      </w:pPr>
      <w:bookmarkStart w:id="13" w:name="_Toc48809466"/>
      <w:r>
        <w:rPr>
          <w:rFonts w:ascii="宋体" w:hAnsi="宋体" w:eastAsia="宋体" w:cs="楷体"/>
          <w:b/>
          <w:color w:val="000000"/>
          <w:sz w:val="28"/>
          <w:szCs w:val="32"/>
        </w:rPr>
        <w:t>二、企业质量管理</w:t>
      </w:r>
      <w:bookmarkEnd w:id="13"/>
    </w:p>
    <w:p>
      <w:pPr>
        <w:spacing w:line="360" w:lineRule="auto"/>
        <w:ind w:firstLine="482" w:firstLineChars="200"/>
        <w:outlineLvl w:val="2"/>
        <w:rPr>
          <w:rFonts w:ascii="宋体" w:hAnsi="宋体" w:eastAsia="宋体" w:cs="楷体"/>
          <w:b/>
          <w:color w:val="000000"/>
          <w:sz w:val="24"/>
          <w:szCs w:val="32"/>
        </w:rPr>
      </w:pPr>
      <w:bookmarkStart w:id="14" w:name="_Toc48809467"/>
      <w:r>
        <w:rPr>
          <w:rFonts w:hint="eastAsia" w:ascii="宋体" w:hAnsi="宋体" w:eastAsia="宋体" w:cs="楷体"/>
          <w:b/>
          <w:color w:val="000000"/>
          <w:sz w:val="24"/>
          <w:szCs w:val="32"/>
        </w:rPr>
        <w:t>（一）质量管理机构</w:t>
      </w:r>
      <w:bookmarkEnd w:id="14"/>
    </w:p>
    <w:p>
      <w:pPr>
        <w:spacing w:line="360" w:lineRule="auto"/>
        <w:ind w:firstLine="480" w:firstLineChars="200"/>
        <w:rPr>
          <w:rFonts w:ascii="宋体" w:hAnsi="宋体" w:eastAsia="宋体"/>
          <w:sz w:val="24"/>
        </w:rPr>
      </w:pPr>
      <w:r>
        <w:rPr>
          <w:rFonts w:hint="eastAsia" w:ascii="宋体" w:hAnsi="宋体" w:eastAsia="宋体"/>
          <w:sz w:val="24"/>
          <w:lang w:eastAsia="zh-CN"/>
        </w:rPr>
        <w:t>解氏新材料</w:t>
      </w:r>
      <w:r>
        <w:rPr>
          <w:rFonts w:hint="eastAsia" w:ascii="宋体" w:hAnsi="宋体" w:eastAsia="宋体"/>
          <w:sz w:val="24"/>
        </w:rPr>
        <w:t>拥有完善的法人治理机构，总经理既管理者代表，负责公司的日常经营。公司建立了扁平化的组织架构，设立了多个职能部门，相互间协调合作、各负其责，公司的产品质量由</w:t>
      </w:r>
      <w:r>
        <w:rPr>
          <w:rFonts w:hint="eastAsia" w:ascii="宋体" w:hAnsi="宋体" w:eastAsia="宋体"/>
          <w:sz w:val="24"/>
          <w:lang w:eastAsia="zh-CN"/>
        </w:rPr>
        <w:t>质检科</w:t>
      </w:r>
      <w:r>
        <w:rPr>
          <w:rFonts w:hint="eastAsia" w:ascii="宋体" w:hAnsi="宋体" w:eastAsia="宋体"/>
          <w:sz w:val="24"/>
        </w:rPr>
        <w:t>全面负责。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sz w:val="24"/>
        </w:rPr>
      </w:pPr>
      <w:r>
        <w:rPr>
          <w:rFonts w:hint="eastAsia" w:eastAsia="宋体"/>
          <w:highlight w:val="none"/>
          <w:lang w:eastAsia="zh-CN"/>
        </w:rPr>
        <w:drawing>
          <wp:inline distT="0" distB="0" distL="114300" distR="114300">
            <wp:extent cx="5939155" cy="2992120"/>
            <wp:effectExtent l="0" t="0" r="4445" b="10160"/>
            <wp:docPr id="3" name="图片 1" descr="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组织结构图"/>
                    <pic:cNvPicPr>
                      <a:picLocks noChangeAspect="1"/>
                    </pic:cNvPicPr>
                  </pic:nvPicPr>
                  <pic:blipFill>
                    <a:blip r:embed="rId6"/>
                    <a:stretch>
                      <a:fillRect/>
                    </a:stretch>
                  </pic:blipFill>
                  <pic:spPr>
                    <a:xfrm>
                      <a:off x="0" y="0"/>
                      <a:ext cx="5939155" cy="2992120"/>
                    </a:xfrm>
                    <a:prstGeom prst="rect">
                      <a:avLst/>
                    </a:prstGeom>
                    <a:noFill/>
                    <a:ln>
                      <a:noFill/>
                    </a:ln>
                  </pic:spPr>
                </pic:pic>
              </a:graphicData>
            </a:graphic>
          </wp:inline>
        </w:drawing>
      </w:r>
    </w:p>
    <w:p>
      <w:pPr>
        <w:widowControl/>
        <w:spacing w:before="156" w:beforeLines="50" w:after="156" w:afterLines="50"/>
        <w:jc w:val="center"/>
        <w:rPr>
          <w:rFonts w:ascii="宋体" w:hAnsi="宋体" w:eastAsia="宋体" w:cs="宋体"/>
          <w:b/>
          <w:sz w:val="24"/>
        </w:rPr>
      </w:pPr>
      <w:r>
        <w:rPr>
          <w:rFonts w:hint="eastAsia" w:ascii="宋体" w:hAnsi="宋体" w:eastAsia="宋体" w:cs="宋体"/>
          <w:b/>
          <w:sz w:val="24"/>
        </w:rPr>
        <w:t>图1 公司组织架构图</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为建立健全适应本企业实际的质量管理体系，扎实有效地落实管理产品生产中的各项工作，确保产品质量管理体系有效运行，保障产品质量以及顾客的合法权益。本公司严格把控产品检测，具体规定</w:t>
      </w:r>
      <w:r>
        <w:rPr>
          <w:rFonts w:hint="eastAsia" w:ascii="宋体" w:hAnsi="宋体" w:eastAsia="宋体" w:cs="微软雅黑"/>
          <w:color w:val="000000"/>
          <w:spacing w:val="-4"/>
          <w:sz w:val="24"/>
          <w:szCs w:val="28"/>
          <w:lang w:eastAsia="zh-CN"/>
        </w:rPr>
        <w:t>质检科</w:t>
      </w:r>
      <w:r>
        <w:rPr>
          <w:rFonts w:hint="eastAsia" w:ascii="宋体" w:hAnsi="宋体" w:eastAsia="宋体" w:cs="微软雅黑"/>
          <w:color w:val="000000"/>
          <w:spacing w:val="-4"/>
          <w:sz w:val="24"/>
          <w:szCs w:val="28"/>
        </w:rPr>
        <w:t>的具体职责：制定公司质量管理目标及实施方案，全面负责公司产品质量考核、客户投诉管理工作，对产品所需物料的进料检验、制程检验、成品检验及出货检验负责。</w:t>
      </w:r>
    </w:p>
    <w:p>
      <w:pPr>
        <w:spacing w:line="360" w:lineRule="auto"/>
        <w:ind w:firstLine="482" w:firstLineChars="200"/>
        <w:outlineLvl w:val="2"/>
        <w:rPr>
          <w:rFonts w:ascii="宋体" w:hAnsi="宋体" w:eastAsia="宋体" w:cs="楷体"/>
          <w:b/>
          <w:color w:val="000000"/>
          <w:sz w:val="24"/>
          <w:szCs w:val="32"/>
        </w:rPr>
      </w:pPr>
      <w:bookmarkStart w:id="15" w:name="_Toc48809468"/>
      <w:r>
        <w:rPr>
          <w:rFonts w:hint="eastAsia" w:ascii="宋体" w:hAnsi="宋体" w:eastAsia="宋体" w:cs="楷体"/>
          <w:b/>
          <w:color w:val="000000"/>
          <w:sz w:val="24"/>
          <w:szCs w:val="32"/>
        </w:rPr>
        <w:t>（二）质量管理体系</w:t>
      </w:r>
      <w:bookmarkEnd w:id="15"/>
    </w:p>
    <w:p>
      <w:pPr>
        <w:spacing w:line="360" w:lineRule="auto"/>
        <w:ind w:firstLine="464" w:firstLineChars="200"/>
        <w:rPr>
          <w:rFonts w:ascii="宋体" w:hAnsi="宋体" w:eastAsia="宋体" w:cs="Times New Roman"/>
          <w:bCs/>
          <w:sz w:val="24"/>
          <w:szCs w:val="28"/>
        </w:rPr>
      </w:pPr>
      <w:r>
        <w:rPr>
          <w:rFonts w:hint="eastAsia" w:ascii="宋体" w:hAnsi="宋体" w:eastAsia="宋体" w:cs="微软雅黑"/>
          <w:color w:val="000000"/>
          <w:spacing w:val="-4"/>
          <w:sz w:val="24"/>
          <w:szCs w:val="28"/>
        </w:rPr>
        <w:t>公司高度重视产品品质，认真履行产品和服务质量安全职责。公司领导始终践行企业社会责任，为提升产品的质量安全性能，建立了一套切合企业发展，促进企业自身与客户共赢的质量安全管控体系。从“设计/研发—采购—生产—成品”，每个环节都设置了缜密的控制体系，进行严格的管控。</w:t>
      </w:r>
    </w:p>
    <w:p>
      <w:pPr>
        <w:spacing w:line="360" w:lineRule="auto"/>
        <w:ind w:firstLine="482" w:firstLineChars="200"/>
        <w:rPr>
          <w:rFonts w:ascii="宋体" w:hAnsi="宋体" w:eastAsia="宋体" w:cs="黑体"/>
          <w:b/>
          <w:color w:val="000000"/>
          <w:sz w:val="24"/>
        </w:rPr>
      </w:pPr>
      <w:r>
        <w:rPr>
          <w:rFonts w:hint="eastAsia" w:ascii="宋体" w:hAnsi="宋体" w:eastAsia="宋体" w:cs="黑体"/>
          <w:b/>
          <w:sz w:val="24"/>
        </w:rPr>
        <w:t>（1）质量目标</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公司将继续加强质量基础建设，强化管理创新和技术创新，提高总体质量水平和自主创新能力，到202</w:t>
      </w:r>
      <w:r>
        <w:rPr>
          <w:rFonts w:hint="eastAsia" w:ascii="宋体" w:hAnsi="宋体" w:eastAsia="宋体" w:cs="微软雅黑"/>
          <w:color w:val="000000"/>
          <w:spacing w:val="-4"/>
          <w:sz w:val="24"/>
          <w:lang w:val="en-US" w:eastAsia="zh-CN"/>
        </w:rPr>
        <w:t>3</w:t>
      </w:r>
      <w:r>
        <w:rPr>
          <w:rFonts w:hint="eastAsia" w:ascii="宋体" w:hAnsi="宋体" w:eastAsia="宋体" w:cs="微软雅黑"/>
          <w:color w:val="000000"/>
          <w:spacing w:val="-4"/>
          <w:sz w:val="24"/>
        </w:rPr>
        <w:t>年质量建设要取得显著成效。</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w:t>
      </w:r>
      <w:r>
        <w:rPr>
          <w:rFonts w:hint="eastAsia" w:ascii="宋体" w:hAnsi="宋体" w:eastAsia="宋体"/>
          <w:color w:val="000000" w:themeColor="text1"/>
          <w:sz w:val="24"/>
          <w:szCs w:val="24"/>
        </w:rPr>
        <w:t>品质优良、绿色环保、安全健康、持续改进</w:t>
      </w:r>
      <w:r>
        <w:rPr>
          <w:rFonts w:hint="eastAsia" w:ascii="宋体" w:hAnsi="宋体" w:eastAsia="宋体" w:cs="微软雅黑"/>
          <w:color w:val="000000"/>
          <w:spacing w:val="-4"/>
          <w:sz w:val="24"/>
        </w:rPr>
        <w:t>”是</w:t>
      </w:r>
      <w:r>
        <w:rPr>
          <w:rFonts w:hint="eastAsia" w:ascii="宋体" w:hAnsi="宋体" w:eastAsia="宋体" w:cs="微软雅黑"/>
          <w:color w:val="000000"/>
          <w:spacing w:val="-4"/>
          <w:sz w:val="24"/>
          <w:lang w:eastAsia="zh-CN"/>
        </w:rPr>
        <w:t>解氏新材料</w:t>
      </w:r>
      <w:r>
        <w:rPr>
          <w:rFonts w:hint="eastAsia" w:ascii="宋体" w:hAnsi="宋体" w:eastAsia="宋体" w:cs="微软雅黑"/>
          <w:color w:val="000000"/>
          <w:spacing w:val="-4"/>
          <w:sz w:val="24"/>
        </w:rPr>
        <w:t>的管理方针，按“方针”精神，公司要求在</w:t>
      </w:r>
      <w:r>
        <w:rPr>
          <w:rFonts w:ascii="宋体" w:hAnsi="宋体" w:eastAsia="宋体" w:cs="微软雅黑"/>
          <w:color w:val="000000"/>
          <w:spacing w:val="-4"/>
          <w:sz w:val="24"/>
        </w:rPr>
        <w:t>年</w:t>
      </w:r>
      <w:r>
        <w:rPr>
          <w:rFonts w:hint="eastAsia" w:ascii="宋体" w:hAnsi="宋体" w:eastAsia="宋体" w:cs="微软雅黑"/>
          <w:color w:val="000000"/>
          <w:spacing w:val="-4"/>
          <w:sz w:val="24"/>
        </w:rPr>
        <w:t>度管理</w:t>
      </w:r>
      <w:r>
        <w:rPr>
          <w:rFonts w:ascii="宋体" w:hAnsi="宋体" w:eastAsia="宋体" w:cs="微软雅黑"/>
          <w:color w:val="000000"/>
          <w:spacing w:val="-4"/>
          <w:sz w:val="24"/>
        </w:rPr>
        <w:t>总目标达标率为：</w:t>
      </w:r>
    </w:p>
    <w:p>
      <w:pPr>
        <w:numPr>
          <w:ilvl w:val="0"/>
          <w:numId w:val="1"/>
        </w:numPr>
        <w:spacing w:line="360" w:lineRule="auto"/>
        <w:ind w:left="420" w:leftChars="0" w:hanging="420" w:firstLineChars="0"/>
        <w:rPr>
          <w:rFonts w:hint="eastAsia" w:ascii="宋体" w:hAnsi="宋体" w:eastAsia="宋体"/>
          <w:b/>
          <w:bCs/>
          <w:sz w:val="24"/>
          <w:szCs w:val="24"/>
        </w:rPr>
      </w:pPr>
      <w:r>
        <w:rPr>
          <w:rFonts w:hint="eastAsia" w:ascii="宋体" w:hAnsi="宋体" w:eastAsia="宋体"/>
          <w:b/>
          <w:bCs/>
          <w:sz w:val="24"/>
          <w:szCs w:val="24"/>
        </w:rPr>
        <w:t>质量总目标：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1、成品合格率99%以上；</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2、顾客满意度90分以上；</w:t>
      </w:r>
    </w:p>
    <w:p>
      <w:pPr>
        <w:numPr>
          <w:ilvl w:val="0"/>
          <w:numId w:val="1"/>
        </w:numPr>
        <w:spacing w:line="360" w:lineRule="auto"/>
        <w:ind w:left="420" w:leftChars="0" w:hanging="420" w:firstLineChars="0"/>
        <w:rPr>
          <w:rFonts w:hint="eastAsia" w:ascii="宋体" w:hAnsi="宋体" w:eastAsia="宋体"/>
          <w:b/>
          <w:bCs/>
          <w:sz w:val="24"/>
          <w:szCs w:val="24"/>
        </w:rPr>
      </w:pPr>
      <w:r>
        <w:rPr>
          <w:rFonts w:hint="eastAsia" w:ascii="宋体" w:hAnsi="宋体" w:eastAsia="宋体"/>
          <w:b/>
          <w:bCs/>
          <w:sz w:val="24"/>
          <w:szCs w:val="24"/>
        </w:rPr>
        <w:t>环境管理体系总目标：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1、杜绝火灾的发生；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2、废水、废气、噪音排放达标；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3、固废100%分类处置。</w:t>
      </w:r>
    </w:p>
    <w:p>
      <w:pPr>
        <w:numPr>
          <w:ilvl w:val="0"/>
          <w:numId w:val="1"/>
        </w:numPr>
        <w:spacing w:line="360" w:lineRule="auto"/>
        <w:ind w:left="420" w:leftChars="0" w:hanging="420" w:firstLineChars="0"/>
        <w:rPr>
          <w:rFonts w:hint="eastAsia" w:ascii="宋体" w:hAnsi="宋体" w:eastAsia="宋体"/>
          <w:b/>
          <w:bCs/>
          <w:sz w:val="24"/>
          <w:szCs w:val="24"/>
        </w:rPr>
      </w:pPr>
      <w:r>
        <w:rPr>
          <w:rFonts w:hint="eastAsia" w:ascii="宋体" w:hAnsi="宋体" w:eastAsia="宋体"/>
          <w:b/>
          <w:bCs/>
          <w:sz w:val="24"/>
          <w:szCs w:val="24"/>
        </w:rPr>
        <w:t>职业健康管理体系总目标：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1、杜绝人身伤亡事故；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2、不发生火灾、触电、中毒事故；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3、职业病发生率为零</w:t>
      </w:r>
      <w:r>
        <w:rPr>
          <w:rFonts w:ascii="宋体" w:hAnsi="宋体" w:eastAsia="宋体"/>
          <w:sz w:val="24"/>
          <w:szCs w:val="24"/>
        </w:rPr>
        <w:t>。</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公司要求，品质总体目标每年有所改善和品质提升</w:t>
      </w:r>
      <w:r>
        <w:rPr>
          <w:rFonts w:ascii="宋体" w:hAnsi="宋体" w:eastAsia="宋体" w:cs="微软雅黑"/>
          <w:color w:val="000000"/>
          <w:spacing w:val="-4"/>
          <w:sz w:val="24"/>
        </w:rPr>
        <w:t>。</w:t>
      </w:r>
      <w:r>
        <w:rPr>
          <w:rFonts w:hint="eastAsia" w:ascii="宋体" w:hAnsi="宋体" w:eastAsia="宋体" w:cs="微软雅黑"/>
          <w:color w:val="000000"/>
          <w:spacing w:val="-4"/>
          <w:sz w:val="24"/>
        </w:rPr>
        <w:t>公司</w:t>
      </w:r>
      <w:r>
        <w:rPr>
          <w:rFonts w:ascii="宋体" w:hAnsi="宋体" w:eastAsia="宋体" w:cs="微软雅黑"/>
          <w:color w:val="000000"/>
          <w:spacing w:val="-4"/>
          <w:sz w:val="24"/>
        </w:rPr>
        <w:t>授权</w:t>
      </w:r>
      <w:r>
        <w:rPr>
          <w:rFonts w:hint="eastAsia" w:ascii="宋体" w:hAnsi="宋体" w:eastAsia="宋体" w:cs="微软雅黑"/>
          <w:color w:val="000000"/>
          <w:spacing w:val="-4"/>
          <w:sz w:val="24"/>
          <w:lang w:eastAsia="zh-CN"/>
        </w:rPr>
        <w:t>质检科</w:t>
      </w:r>
      <w:r>
        <w:rPr>
          <w:rFonts w:ascii="宋体" w:hAnsi="宋体" w:eastAsia="宋体" w:cs="微软雅黑"/>
          <w:color w:val="000000"/>
          <w:spacing w:val="-4"/>
          <w:sz w:val="24"/>
        </w:rPr>
        <w:t>对</w:t>
      </w:r>
      <w:r>
        <w:rPr>
          <w:rFonts w:hint="eastAsia" w:ascii="宋体" w:hAnsi="宋体" w:eastAsia="宋体" w:cs="微软雅黑"/>
          <w:color w:val="000000"/>
          <w:spacing w:val="-4"/>
          <w:sz w:val="24"/>
        </w:rPr>
        <w:t>质量</w:t>
      </w:r>
      <w:r>
        <w:rPr>
          <w:rFonts w:ascii="宋体" w:hAnsi="宋体" w:eastAsia="宋体" w:cs="微软雅黑"/>
          <w:color w:val="000000"/>
          <w:spacing w:val="-4"/>
          <w:sz w:val="24"/>
        </w:rPr>
        <w:t>目标的执行和达成情况进行督查、统计、分析</w:t>
      </w:r>
      <w:r>
        <w:rPr>
          <w:rFonts w:hint="eastAsia" w:ascii="宋体" w:hAnsi="宋体" w:eastAsia="宋体" w:cs="微软雅黑"/>
          <w:color w:val="000000"/>
          <w:spacing w:val="-4"/>
          <w:sz w:val="24"/>
        </w:rPr>
        <w:t>；分析、统计结果报管理者代表与最高管理者。</w:t>
      </w:r>
    </w:p>
    <w:p>
      <w:pPr>
        <w:spacing w:line="360" w:lineRule="auto"/>
        <w:ind w:firstLine="482" w:firstLineChars="200"/>
        <w:rPr>
          <w:rFonts w:ascii="宋体" w:hAnsi="宋体" w:eastAsia="宋体" w:cs="黑体"/>
          <w:bCs/>
          <w:sz w:val="24"/>
        </w:rPr>
      </w:pPr>
      <w:r>
        <w:rPr>
          <w:rFonts w:hint="eastAsia" w:ascii="宋体" w:hAnsi="宋体" w:eastAsia="宋体" w:cs="黑体"/>
          <w:b/>
          <w:sz w:val="24"/>
        </w:rPr>
        <w:t>（2）质量教育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rPr>
      </w:pPr>
      <w:r>
        <w:rPr>
          <w:rFonts w:hint="eastAsia" w:ascii="宋体" w:hAnsi="宋体" w:eastAsia="宋体" w:cs="微软雅黑"/>
          <w:color w:val="000000"/>
          <w:spacing w:val="-4"/>
          <w:sz w:val="24"/>
        </w:rPr>
        <w:t>为实现公司持续经营，有效落实组织员工的质量教育，公司制定了质量教育培训管理制度，并每年制定并执行培训计划，塑造企业讲诚信的道德环境。公司培训管理流程如图2所示。</w:t>
      </w:r>
    </w:p>
    <w:p>
      <w:pPr>
        <w:adjustRightInd w:val="0"/>
        <w:snapToGrid w:val="0"/>
        <w:spacing w:line="360" w:lineRule="auto"/>
        <w:jc w:val="center"/>
        <w:rPr>
          <w:rFonts w:ascii="宋体" w:hAnsi="宋体" w:eastAsia="宋体"/>
          <w:bCs/>
          <w:color w:val="000000"/>
          <w:kern w:val="21"/>
          <w:szCs w:val="21"/>
        </w:rPr>
      </w:pPr>
      <w:r>
        <w:rPr>
          <w:rFonts w:ascii="宋体" w:hAnsi="宋体" w:eastAsia="宋体"/>
          <w:sz w:val="24"/>
        </w:rPr>
        <w:object>
          <v:shape id="_x0000_i1025" o:spt="75" type="#_x0000_t75" style="height:210.75pt;width:428.2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pacing w:line="360" w:lineRule="auto"/>
        <w:jc w:val="center"/>
        <w:rPr>
          <w:rFonts w:ascii="宋体" w:hAnsi="宋体" w:eastAsia="宋体" w:cstheme="minorEastAsia"/>
          <w:b/>
          <w:bCs/>
          <w:sz w:val="24"/>
          <w:szCs w:val="32"/>
        </w:rPr>
      </w:pPr>
      <w:r>
        <w:rPr>
          <w:rFonts w:hint="eastAsia" w:ascii="宋体" w:hAnsi="宋体" w:eastAsia="宋体" w:cstheme="minorEastAsia"/>
          <w:b/>
          <w:bCs/>
          <w:sz w:val="24"/>
          <w:szCs w:val="32"/>
        </w:rPr>
        <w:t xml:space="preserve">图2 </w:t>
      </w:r>
      <w:r>
        <w:rPr>
          <w:rFonts w:hint="eastAsia" w:ascii="宋体" w:hAnsi="宋体" w:eastAsia="宋体" w:cstheme="minorEastAsia"/>
          <w:b/>
          <w:bCs/>
          <w:sz w:val="24"/>
          <w:szCs w:val="32"/>
          <w:lang w:eastAsia="zh-CN"/>
        </w:rPr>
        <w:t>解氏新材料</w:t>
      </w:r>
      <w:r>
        <w:rPr>
          <w:rFonts w:hint="eastAsia" w:ascii="宋体" w:hAnsi="宋体" w:eastAsia="宋体" w:cstheme="minorEastAsia"/>
          <w:b/>
          <w:bCs/>
          <w:sz w:val="24"/>
          <w:szCs w:val="32"/>
        </w:rPr>
        <w:t>培训管理体系</w:t>
      </w:r>
    </w:p>
    <w:p>
      <w:pPr>
        <w:spacing w:line="360" w:lineRule="auto"/>
        <w:ind w:firstLine="482" w:firstLineChars="200"/>
        <w:outlineLvl w:val="2"/>
        <w:rPr>
          <w:rFonts w:ascii="宋体" w:hAnsi="宋体" w:eastAsia="宋体" w:cs="楷体"/>
          <w:b/>
          <w:color w:val="000000"/>
          <w:sz w:val="24"/>
          <w:szCs w:val="32"/>
        </w:rPr>
      </w:pPr>
      <w:bookmarkStart w:id="16" w:name="_Toc48809469"/>
      <w:r>
        <w:rPr>
          <w:rFonts w:hint="eastAsia" w:ascii="宋体" w:hAnsi="宋体" w:eastAsia="宋体" w:cs="楷体"/>
          <w:b/>
          <w:color w:val="000000"/>
          <w:sz w:val="24"/>
          <w:szCs w:val="32"/>
        </w:rPr>
        <w:t>（三）质量安全风险管理</w:t>
      </w:r>
      <w:bookmarkEnd w:id="16"/>
    </w:p>
    <w:p>
      <w:pPr>
        <w:spacing w:line="360" w:lineRule="auto"/>
        <w:ind w:firstLine="480" w:firstLineChars="200"/>
        <w:rPr>
          <w:rFonts w:ascii="宋体" w:hAnsi="宋体" w:eastAsia="宋体"/>
          <w:sz w:val="24"/>
        </w:rPr>
      </w:pPr>
      <w:bookmarkStart w:id="17" w:name="_Toc48809470"/>
      <w:r>
        <w:rPr>
          <w:rFonts w:hint="eastAsia" w:ascii="宋体" w:hAnsi="宋体" w:eastAsia="宋体"/>
          <w:sz w:val="24"/>
          <w:lang w:eastAsia="zh-CN"/>
        </w:rPr>
        <w:t>解氏新材料</w:t>
      </w:r>
      <w:r>
        <w:rPr>
          <w:rFonts w:hint="eastAsia" w:ascii="宋体" w:hAnsi="宋体" w:eastAsia="宋体"/>
          <w:sz w:val="24"/>
        </w:rPr>
        <w:t>重视质量风险管理工作，每年动态修订更新内控制度，组织内控综合检查。为了确保产品的正常使用和对于重大质量安全事故的监测和风险评估，成立了以总经理为核心的战略领导和统筹机构，快速有效地应对各种风险。公司在客服体系中建立完善的危机性质量安全事故的跟踪和处理机制，并成立专门的重大事故处理小组负责质量安全事故的全程跟进和处理，并时刻识别产品在策划、设计、制造、运输、安装和使用等过程中的质量安全风险点，从根本上杜绝质量安全风险的发生。上述各项风险的处理和管控有专门的制度保证、专职的部门和领导负责、有标准的操作流程，迅速高效，把控有力。公司自成立至今，未出现过大风险和危机事件，在行内享有盛誉。</w:t>
      </w:r>
    </w:p>
    <w:p>
      <w:pPr>
        <w:spacing w:line="360" w:lineRule="auto"/>
        <w:ind w:firstLine="480" w:firstLineChars="200"/>
        <w:rPr>
          <w:rFonts w:ascii="宋体" w:hAnsi="宋体" w:eastAsia="宋体"/>
          <w:sz w:val="24"/>
        </w:rPr>
      </w:pPr>
      <w:r>
        <w:rPr>
          <w:rFonts w:hint="eastAsia" w:ascii="宋体" w:hAnsi="宋体" w:eastAsia="宋体"/>
          <w:sz w:val="24"/>
        </w:rPr>
        <w:t>在产品检测方面，对产品质量进行严格把控。在整个流程中，根据自身产品特点制定《采购控制程序》、《生产和服务提供</w:t>
      </w:r>
      <w:r>
        <w:rPr>
          <w:rFonts w:hint="eastAsia" w:ascii="宋体" w:hAnsi="宋体" w:eastAsia="宋体"/>
          <w:sz w:val="24"/>
          <w:lang w:val="en-US" w:eastAsia="zh-CN"/>
        </w:rPr>
        <w:t>的</w:t>
      </w:r>
      <w:r>
        <w:rPr>
          <w:rFonts w:hint="eastAsia" w:ascii="宋体" w:hAnsi="宋体" w:eastAsia="宋体"/>
          <w:sz w:val="24"/>
        </w:rPr>
        <w:t>控制程序》、《产品检验控制程序》、《不合格控制程序》等程序文件，在采购物资、产品和服务的提供过程以及最终检查进行验证活动，确保只有满足要求的产品和服务才能够放行交付给顾客。</w:t>
      </w:r>
      <w:r>
        <w:rPr>
          <w:rFonts w:hint="eastAsia" w:ascii="宋体" w:hAnsi="宋体" w:eastAsia="宋体"/>
          <w:sz w:val="24"/>
          <w:lang w:eastAsia="zh-CN"/>
        </w:rPr>
        <w:t>质检科</w:t>
      </w:r>
      <w:r>
        <w:rPr>
          <w:rFonts w:hint="eastAsia" w:ascii="宋体" w:hAnsi="宋体" w:eastAsia="宋体"/>
          <w:sz w:val="24"/>
        </w:rPr>
        <w:t>保留有关产品和服务放行的成文信息，包括检验或验收记录以及授权放行人员的可追溯性信息。</w:t>
      </w:r>
    </w:p>
    <w:p>
      <w:pPr>
        <w:spacing w:line="360" w:lineRule="auto"/>
        <w:ind w:firstLine="480" w:firstLineChars="200"/>
        <w:rPr>
          <w:rFonts w:ascii="宋体" w:hAnsi="宋体" w:eastAsia="宋体"/>
          <w:sz w:val="24"/>
        </w:rPr>
      </w:pPr>
      <w:r>
        <w:rPr>
          <w:rFonts w:hint="eastAsia" w:ascii="宋体" w:hAnsi="宋体" w:eastAsia="宋体"/>
          <w:sz w:val="24"/>
        </w:rPr>
        <w:t>我公司一方面制定了严格的产品检验放行制度，严格把控不合格产品的流出；另一方面公司针对潜在的质量失信事件或紧急、突发事件能做出及时响应。</w:t>
      </w:r>
    </w:p>
    <w:p>
      <w:pPr>
        <w:spacing w:before="156" w:beforeLines="50" w:line="360" w:lineRule="auto"/>
        <w:outlineLvl w:val="1"/>
        <w:rPr>
          <w:rFonts w:ascii="宋体" w:hAnsi="宋体" w:eastAsia="宋体" w:cs="楷体"/>
          <w:b/>
          <w:color w:val="000000"/>
          <w:sz w:val="28"/>
          <w:szCs w:val="36"/>
        </w:rPr>
      </w:pPr>
      <w:r>
        <w:rPr>
          <w:rFonts w:hint="eastAsia" w:ascii="宋体" w:hAnsi="宋体" w:eastAsia="宋体" w:cs="楷体"/>
          <w:b/>
          <w:color w:val="000000"/>
          <w:sz w:val="28"/>
          <w:szCs w:val="36"/>
        </w:rPr>
        <w:t>三、企业质量诚信</w:t>
      </w:r>
      <w:bookmarkEnd w:id="17"/>
    </w:p>
    <w:p>
      <w:pPr>
        <w:spacing w:line="360" w:lineRule="auto"/>
        <w:ind w:firstLine="482" w:firstLineChars="200"/>
        <w:outlineLvl w:val="2"/>
        <w:rPr>
          <w:rFonts w:ascii="宋体" w:hAnsi="宋体" w:eastAsia="宋体" w:cs="楷体"/>
          <w:b/>
          <w:color w:val="000000"/>
          <w:sz w:val="24"/>
          <w:szCs w:val="32"/>
        </w:rPr>
      </w:pPr>
      <w:bookmarkStart w:id="18" w:name="_Toc48809471"/>
      <w:r>
        <w:rPr>
          <w:rFonts w:hint="eastAsia" w:ascii="宋体" w:hAnsi="宋体" w:eastAsia="宋体" w:cs="楷体"/>
          <w:b/>
          <w:color w:val="000000"/>
          <w:sz w:val="24"/>
          <w:szCs w:val="32"/>
        </w:rPr>
        <w:t>（一）质量诚信管理</w:t>
      </w:r>
      <w:bookmarkEnd w:id="1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质量管理体系；公司高层管理者从严管理，以身作则，作为遵纪守法的示范者和标杆，在经营活动中坚持依法经营，从公司成立以来，公司高层管理者没有一位违法违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公司实施依法纳税，依法缴费，财务制度健全，账目规范，每年委托税务局和审计局开展汇算清缴和审计，积极配合国税、地税进行税务稽查，同时公司遵守市场规则，信贷记录良好。</w:t>
      </w:r>
    </w:p>
    <w:p>
      <w:pPr>
        <w:spacing w:before="156" w:beforeLines="50" w:line="360" w:lineRule="auto"/>
        <w:ind w:firstLine="482" w:firstLineChars="200"/>
        <w:outlineLvl w:val="2"/>
        <w:rPr>
          <w:rFonts w:ascii="宋体" w:hAnsi="宋体" w:eastAsia="宋体" w:cs="楷体"/>
          <w:b/>
          <w:color w:val="000000"/>
          <w:sz w:val="24"/>
          <w:szCs w:val="36"/>
        </w:rPr>
      </w:pPr>
      <w:bookmarkStart w:id="19" w:name="_Toc48809473"/>
      <w:r>
        <w:rPr>
          <w:rFonts w:hint="eastAsia" w:ascii="宋体" w:hAnsi="宋体" w:eastAsia="宋体" w:cs="楷体"/>
          <w:b/>
          <w:color w:val="000000"/>
          <w:sz w:val="24"/>
          <w:szCs w:val="36"/>
        </w:rPr>
        <w:t>（二）运作管理</w:t>
      </w:r>
      <w:bookmarkEnd w:id="19"/>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（1）对员工的诚信教育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在开展项目和签订合同时施行法律顾问及领导把关的风险控制联动机制，努力从源头上防范和控制法律风险，同时公司建有会议室、宣传栏，通过学习《安全生产法》、《工会法》等与企业和员工息息相关的法律法规，极大地提高了广大干部和员工对于法律法规的认知，增强了企业经营管理人员的诚信经营和市场规则意识，在工作和生活中知法、守法已成为广大员工的自觉行为规范。</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（2）产品设计诚信管理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根据研发过程高投入、快速、创新的要求，为实现公司设定的新产品预计年销售额、新产品研发数量、研发样本一次交付合格率等绩效指标，</w:t>
      </w: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设立了</w:t>
      </w:r>
      <w:r>
        <w:rPr>
          <w:rFonts w:hint="eastAsia" w:ascii="宋体" w:hAnsi="宋体" w:eastAsia="宋体" w:cs="微软雅黑"/>
          <w:color w:val="000000"/>
          <w:spacing w:val="-4"/>
          <w:sz w:val="24"/>
          <w:szCs w:val="28"/>
          <w:lang w:eastAsia="zh-CN"/>
        </w:rPr>
        <w:t>质检科</w:t>
      </w:r>
      <w:r>
        <w:rPr>
          <w:rFonts w:hint="eastAsia" w:ascii="宋体" w:hAnsi="宋体" w:eastAsia="宋体" w:cs="微软雅黑"/>
          <w:color w:val="000000"/>
          <w:spacing w:val="-4"/>
          <w:sz w:val="24"/>
          <w:szCs w:val="28"/>
        </w:rPr>
        <w:t>，统筹公司的产品研发。</w:t>
      </w:r>
      <w:r>
        <w:rPr>
          <w:rFonts w:hint="eastAsia" w:ascii="宋体" w:hAnsi="宋体" w:eastAsia="宋体" w:cs="微软雅黑"/>
          <w:color w:val="000000"/>
          <w:spacing w:val="-4"/>
          <w:sz w:val="24"/>
          <w:szCs w:val="28"/>
          <w:lang w:eastAsia="zh-CN"/>
        </w:rPr>
        <w:t>质检科</w:t>
      </w:r>
      <w:r>
        <w:rPr>
          <w:rFonts w:hint="eastAsia" w:ascii="宋体" w:hAnsi="宋体" w:eastAsia="宋体" w:cs="微软雅黑"/>
          <w:color w:val="000000"/>
          <w:spacing w:val="-4"/>
          <w:sz w:val="24"/>
          <w:szCs w:val="28"/>
        </w:rPr>
        <w:t>运用PM（项目管理）、PDCA等方法，注重工艺技术和市场信息的应用，对研发过程系统的设计、管理和改进，按研发过程的不同阶段、节点进行所需要的评审和确认，并设立指标进行测量和控制，持续改进。在技术中长期发展规划和年度计划中，明确“重大研发立项”、“申报专利技术”和“开发新产品”的量化目标，并通过监督考核的方式以确保技术转化成果的成功率。在技术研发项目实施过程中，积极采用项目管理和PDCA管理等管理模式，确保技术转化成果的成功率。</w:t>
      </w:r>
    </w:p>
    <w:p>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表1 研发过程的实施控制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563"/>
        <w:gridCol w:w="181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4" w:type="dxa"/>
            <w:shd w:val="clear" w:color="auto" w:fill="538135"/>
          </w:tcPr>
          <w:p>
            <w:pPr>
              <w:adjustRightInd w:val="0"/>
              <w:snapToGrid w:val="0"/>
              <w:spacing w:before="50" w:line="300" w:lineRule="auto"/>
              <w:jc w:val="center"/>
              <w:rPr>
                <w:rFonts w:ascii="宋体" w:hAnsi="宋体" w:eastAsia="宋体" w:cs="宋体"/>
                <w:b/>
                <w:bCs/>
                <w:snapToGrid w:val="0"/>
                <w:color w:val="FFFFFF"/>
                <w:sz w:val="24"/>
              </w:rPr>
            </w:pPr>
            <w:r>
              <w:rPr>
                <w:rFonts w:ascii="宋体" w:hAnsi="宋体" w:eastAsia="宋体" w:cs="宋体"/>
                <w:b/>
                <w:bCs/>
                <w:snapToGrid w:val="0"/>
                <w:color w:val="FFFFFF"/>
                <w:sz w:val="24"/>
              </w:rPr>
              <w:t>过程内容</w:t>
            </w:r>
          </w:p>
        </w:tc>
        <w:tc>
          <w:tcPr>
            <w:tcW w:w="4563" w:type="dxa"/>
            <w:shd w:val="clear" w:color="auto" w:fill="538135"/>
          </w:tcPr>
          <w:p>
            <w:pPr>
              <w:adjustRightInd w:val="0"/>
              <w:snapToGrid w:val="0"/>
              <w:spacing w:before="50" w:line="300" w:lineRule="auto"/>
              <w:jc w:val="center"/>
              <w:rPr>
                <w:rFonts w:ascii="宋体" w:hAnsi="宋体" w:eastAsia="宋体" w:cs="宋体"/>
                <w:b/>
                <w:bCs/>
                <w:snapToGrid w:val="0"/>
                <w:color w:val="FFFFFF"/>
                <w:sz w:val="24"/>
              </w:rPr>
            </w:pPr>
            <w:r>
              <w:rPr>
                <w:rFonts w:ascii="宋体" w:hAnsi="宋体" w:eastAsia="宋体" w:cs="宋体"/>
                <w:b/>
                <w:bCs/>
                <w:snapToGrid w:val="0"/>
                <w:color w:val="FFFFFF"/>
                <w:sz w:val="24"/>
              </w:rPr>
              <w:t>控制要点</w:t>
            </w:r>
          </w:p>
        </w:tc>
        <w:tc>
          <w:tcPr>
            <w:tcW w:w="1816" w:type="dxa"/>
            <w:shd w:val="clear" w:color="auto" w:fill="538135"/>
          </w:tcPr>
          <w:p>
            <w:pPr>
              <w:adjustRightInd w:val="0"/>
              <w:snapToGrid w:val="0"/>
              <w:spacing w:before="50" w:line="300" w:lineRule="auto"/>
              <w:jc w:val="center"/>
              <w:rPr>
                <w:rFonts w:ascii="宋体" w:hAnsi="宋体" w:eastAsia="宋体" w:cs="宋体"/>
                <w:b/>
                <w:bCs/>
                <w:snapToGrid w:val="0"/>
                <w:color w:val="FFFFFF"/>
                <w:sz w:val="24"/>
              </w:rPr>
            </w:pPr>
            <w:r>
              <w:rPr>
                <w:rFonts w:ascii="宋体" w:hAnsi="宋体" w:eastAsia="宋体" w:cs="宋体"/>
                <w:b/>
                <w:bCs/>
                <w:snapToGrid w:val="0"/>
                <w:color w:val="FFFFFF"/>
                <w:sz w:val="24"/>
              </w:rPr>
              <w:t>实施手段</w:t>
            </w:r>
          </w:p>
        </w:tc>
        <w:tc>
          <w:tcPr>
            <w:tcW w:w="1807" w:type="dxa"/>
            <w:shd w:val="clear" w:color="auto" w:fill="538135"/>
          </w:tcPr>
          <w:p>
            <w:pPr>
              <w:adjustRightInd w:val="0"/>
              <w:snapToGrid w:val="0"/>
              <w:spacing w:before="50" w:line="300" w:lineRule="auto"/>
              <w:jc w:val="center"/>
              <w:rPr>
                <w:rFonts w:ascii="宋体" w:hAnsi="宋体" w:eastAsia="宋体" w:cs="宋体"/>
                <w:b/>
                <w:bCs/>
                <w:snapToGrid w:val="0"/>
                <w:color w:val="FFFFFF"/>
                <w:sz w:val="24"/>
              </w:rPr>
            </w:pPr>
            <w:r>
              <w:rPr>
                <w:rFonts w:ascii="宋体" w:hAnsi="宋体" w:eastAsia="宋体" w:cs="宋体"/>
                <w:b/>
                <w:bCs/>
                <w:snapToGrid w:val="0"/>
                <w:color w:val="FFFFFF"/>
                <w:sz w:val="24"/>
              </w:rPr>
              <w:t>参与部门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市场调研</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ascii="宋体" w:hAnsi="宋体" w:eastAsia="宋体" w:cs="宋体"/>
                <w:snapToGrid w:val="0"/>
                <w:color w:val="000000"/>
                <w:szCs w:val="22"/>
              </w:rPr>
              <w:t>信息来源的可靠性</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市场调研</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销售科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可行性分析</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1.能否不断满足顾客的需求和期望，为客户实现增值；</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2.是否能盈利，成为新的经济增长点，具有良好的经济和社会效益；</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3.项目的研发成功是否能提高公司的创新能力，掌握核心技术，提高公司的核心竞争力，保持行业的领先地位，增强顾客对企业的信心。</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项目可行性评估</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val="en-US" w:eastAsia="zh-CN"/>
              </w:rPr>
            </w:pPr>
            <w:r>
              <w:rPr>
                <w:rFonts w:hint="eastAsia" w:ascii="宋体" w:hAnsi="宋体" w:eastAsia="宋体" w:cs="宋体"/>
                <w:snapToGrid w:val="0"/>
                <w:color w:val="000000"/>
                <w:szCs w:val="22"/>
                <w:lang w:val="en-US" w:eastAsia="zh-CN"/>
              </w:rPr>
              <w:t>技术部</w:t>
            </w:r>
          </w:p>
          <w:p>
            <w:pPr>
              <w:autoSpaceDE w:val="0"/>
              <w:autoSpaceDN w:val="0"/>
              <w:adjustRightInd w:val="0"/>
              <w:jc w:val="center"/>
              <w:rPr>
                <w:rFonts w:hint="default" w:ascii="宋体" w:hAnsi="宋体" w:eastAsia="宋体" w:cs="宋体"/>
                <w:snapToGrid w:val="0"/>
                <w:color w:val="000000"/>
                <w:szCs w:val="22"/>
                <w:lang w:val="en-US" w:eastAsia="zh-CN"/>
              </w:rPr>
            </w:pPr>
            <w:r>
              <w:rPr>
                <w:rFonts w:hint="eastAsia" w:ascii="宋体" w:hAnsi="宋体" w:eastAsia="宋体" w:cs="宋体"/>
                <w:snapToGrid w:val="0"/>
                <w:color w:val="000000"/>
                <w:szCs w:val="22"/>
                <w:lang w:val="en-US" w:eastAsia="zh-CN"/>
              </w:rPr>
              <w:t>质检科</w:t>
            </w:r>
          </w:p>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销售科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批准开发</w:t>
            </w:r>
          </w:p>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计划</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1.顾客的需求，如产品技术标准；</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2.对生产提出要求，如需要合作单位；</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3.满足社会环保要求；</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4.试制到商业化生产的过程。</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项目要求评估</w:t>
            </w:r>
          </w:p>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PM项目管理</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销售科</w:t>
            </w:r>
          </w:p>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工艺准备</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1.工厂现有设备和工艺能力能否完成制造；</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2.需要进行哪些技改；</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3.技改的时间和成本能否配合</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内部能力评估</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原材</w:t>
            </w:r>
            <w:r>
              <w:rPr>
                <w:rFonts w:hint="eastAsia" w:ascii="宋体" w:hAnsi="宋体" w:eastAsia="宋体" w:cs="宋体"/>
                <w:snapToGrid w:val="0"/>
                <w:color w:val="000000"/>
                <w:szCs w:val="22"/>
              </w:rPr>
              <w:t>/辅料试制与复检</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1.厂家是否需要技术支持；</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2.材料试制能否如计划完成；</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3.材料复验指标是否符合产品要求。</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供方能力评估</w:t>
            </w:r>
          </w:p>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实验室检测</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采购科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样品制作</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1.材料和设备是否准备到位；</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2.如何在不给正常生产造成大的干扰情况下完成试制。</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小批量试制</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确定样品</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1.验证技术是否成熟和可靠；</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2.有无按照验证程序规范操作；</w:t>
            </w:r>
          </w:p>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3.数据记录是否完整和可靠。</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实验室检测</w:t>
            </w:r>
          </w:p>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第三方检测</w:t>
            </w:r>
          </w:p>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专家鉴定</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val="en-US" w:eastAsia="zh-CN"/>
              </w:rPr>
              <w:t>质检科</w:t>
            </w:r>
          </w:p>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第三方检测机构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实施改进</w:t>
            </w:r>
          </w:p>
        </w:tc>
        <w:tc>
          <w:tcPr>
            <w:tcW w:w="4563" w:type="dxa"/>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有无持续改进的内容</w:t>
            </w:r>
          </w:p>
        </w:tc>
        <w:tc>
          <w:tcPr>
            <w:tcW w:w="1816" w:type="dxa"/>
            <w:vAlign w:val="center"/>
          </w:tcPr>
          <w:p>
            <w:pPr>
              <w:autoSpaceDE w:val="0"/>
              <w:autoSpaceDN w:val="0"/>
              <w:adjustRightInd w:val="0"/>
              <w:jc w:val="center"/>
              <w:rPr>
                <w:rFonts w:ascii="宋体" w:hAnsi="宋体" w:eastAsia="宋体" w:cs="宋体"/>
                <w:snapToGrid w:val="0"/>
                <w:color w:val="000000"/>
                <w:szCs w:val="22"/>
              </w:rPr>
            </w:pPr>
            <w:r>
              <w:rPr>
                <w:rFonts w:ascii="宋体" w:hAnsi="宋体" w:eastAsia="宋体" w:cs="宋体"/>
                <w:snapToGrid w:val="0"/>
                <w:color w:val="000000"/>
                <w:szCs w:val="22"/>
              </w:rPr>
              <w:t>效果图评审后改进、实物评审后改进、工艺评审后改进</w:t>
            </w:r>
          </w:p>
        </w:tc>
        <w:tc>
          <w:tcPr>
            <w:tcW w:w="1807" w:type="dxa"/>
            <w:vAlign w:val="center"/>
          </w:tcPr>
          <w:p>
            <w:pPr>
              <w:autoSpaceDE w:val="0"/>
              <w:autoSpaceDN w:val="0"/>
              <w:adjustRightInd w:val="0"/>
              <w:jc w:val="center"/>
              <w:rPr>
                <w:rFonts w:hint="eastAsia" w:ascii="宋体" w:hAnsi="宋体" w:eastAsia="宋体" w:cs="宋体"/>
                <w:snapToGrid w:val="0"/>
                <w:color w:val="000000"/>
                <w:szCs w:val="22"/>
                <w:lang w:eastAsia="zh-CN"/>
              </w:rPr>
            </w:pPr>
            <w:r>
              <w:rPr>
                <w:rFonts w:hint="eastAsia" w:ascii="宋体" w:hAnsi="宋体" w:eastAsia="宋体" w:cs="宋体"/>
                <w:snapToGrid w:val="0"/>
                <w:color w:val="000000"/>
                <w:szCs w:val="22"/>
                <w:lang w:eastAsia="zh-CN"/>
              </w:rPr>
              <w:t>销售科</w:t>
            </w:r>
          </w:p>
          <w:p>
            <w:pPr>
              <w:autoSpaceDE w:val="0"/>
              <w:autoSpaceDN w:val="0"/>
              <w:adjustRightInd w:val="0"/>
              <w:jc w:val="center"/>
              <w:rPr>
                <w:rFonts w:hint="default" w:ascii="宋体" w:hAnsi="宋体" w:eastAsia="宋体" w:cs="宋体"/>
                <w:snapToGrid w:val="0"/>
                <w:color w:val="000000"/>
                <w:szCs w:val="22"/>
                <w:lang w:val="en-US" w:eastAsia="zh-CN"/>
              </w:rPr>
            </w:pPr>
            <w:r>
              <w:rPr>
                <w:rFonts w:hint="eastAsia" w:ascii="宋体" w:hAnsi="宋体" w:eastAsia="宋体" w:cs="宋体"/>
                <w:snapToGrid w:val="0"/>
                <w:color w:val="000000"/>
                <w:szCs w:val="22"/>
                <w:lang w:val="en-US" w:eastAsia="zh-CN"/>
              </w:rPr>
              <w:t>技术部</w:t>
            </w:r>
          </w:p>
        </w:tc>
      </w:tr>
    </w:tbl>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（3）原材料或零部件采购诚信管理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公司坚持“优质原料+严谨检验”，把好原料关。原材料的好坏是决定产品品质的首要因素，</w:t>
      </w: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lang w:val="en-US" w:eastAsia="zh-CN"/>
        </w:rPr>
        <w:t>有机氟化物</w:t>
      </w:r>
      <w:r>
        <w:rPr>
          <w:rFonts w:hint="eastAsia" w:ascii="宋体" w:hAnsi="宋体" w:eastAsia="宋体" w:cs="微软雅黑"/>
          <w:color w:val="000000"/>
          <w:spacing w:val="-4"/>
          <w:sz w:val="24"/>
          <w:szCs w:val="28"/>
        </w:rPr>
        <w:t>的原材料供应商为国际、国内知名的原料制造商，原材料进入公司后，须经过一系列严谨的科学检测，确保各项性能优越，优质纯正的专用原材料，从基因上奠定了</w:t>
      </w: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产品的卓越性能与环保品质。此外，公司与供应商签订质量协议，明确对产品性能、法律法规、环境保护等方面的具体要求。在入厂检验阶段，严格按照国家抽样标准进行抽样、检验与试验；对涉及律法规、环境保护、人身安全的，实行零容忍，一旦发现不合格，一律退货，并责令外协厂家进行整改，必要取消其供应商资格。</w:t>
      </w:r>
    </w:p>
    <w:p>
      <w:pPr>
        <w:autoSpaceDE w:val="0"/>
        <w:autoSpaceDN w:val="0"/>
        <w:adjustRightInd w:val="0"/>
        <w:spacing w:line="360" w:lineRule="auto"/>
        <w:jc w:val="center"/>
        <w:rPr>
          <w:rFonts w:ascii="宋体" w:hAnsi="宋体" w:eastAsia="宋体" w:cs="宋体"/>
          <w:b/>
          <w:bCs/>
          <w:sz w:val="24"/>
        </w:rPr>
      </w:pPr>
      <w:r>
        <w:rPr>
          <w:rFonts w:hint="eastAsia" w:ascii="宋体" w:hAnsi="宋体" w:eastAsia="宋体" w:cs="宋体"/>
          <w:b/>
          <w:bCs/>
          <w:sz w:val="24"/>
        </w:rPr>
        <w:t>表2 供应商开发、采购及管理流程</w:t>
      </w:r>
    </w:p>
    <w:tbl>
      <w:tblPr>
        <w:tblStyle w:val="17"/>
        <w:tblW w:w="4998" w:type="pct"/>
        <w:jc w:val="center"/>
        <w:tblLayout w:type="autofit"/>
        <w:tblCellMar>
          <w:top w:w="0" w:type="dxa"/>
          <w:left w:w="108" w:type="dxa"/>
          <w:bottom w:w="0" w:type="dxa"/>
          <w:right w:w="108" w:type="dxa"/>
        </w:tblCellMar>
      </w:tblPr>
      <w:tblGrid>
        <w:gridCol w:w="3087"/>
        <w:gridCol w:w="6479"/>
      </w:tblGrid>
      <w:tr>
        <w:tblPrEx>
          <w:tblCellMar>
            <w:top w:w="0" w:type="dxa"/>
            <w:left w:w="108" w:type="dxa"/>
            <w:bottom w:w="0" w:type="dxa"/>
            <w:right w:w="108" w:type="dxa"/>
          </w:tblCellMar>
        </w:tblPrEx>
        <w:trPr>
          <w:trHeight w:val="454" w:hRule="atLeast"/>
          <w:tblHeader/>
          <w:jc w:val="center"/>
        </w:trPr>
        <w:tc>
          <w:tcPr>
            <w:tcW w:w="1613" w:type="pct"/>
            <w:tcBorders>
              <w:top w:val="single" w:color="000000" w:sz="4" w:space="0"/>
              <w:left w:val="single" w:color="000000" w:sz="4" w:space="0"/>
              <w:bottom w:val="single" w:color="000000" w:sz="4" w:space="0"/>
              <w:right w:val="single" w:color="000000" w:sz="4" w:space="0"/>
              <w:tl2br w:val="nil"/>
              <w:tr2bl w:val="nil"/>
            </w:tcBorders>
            <w:shd w:val="clear" w:color="auto" w:fill="538135"/>
            <w:vAlign w:val="center"/>
          </w:tcPr>
          <w:p>
            <w:pPr>
              <w:spacing w:line="360" w:lineRule="auto"/>
              <w:jc w:val="center"/>
              <w:rPr>
                <w:rFonts w:ascii="宋体" w:hAnsi="宋体" w:eastAsia="宋体" w:cs="宋体"/>
                <w:b/>
                <w:bCs/>
                <w:snapToGrid w:val="0"/>
                <w:color w:val="FFFFFF"/>
                <w:sz w:val="24"/>
              </w:rPr>
            </w:pPr>
            <w:r>
              <w:rPr>
                <w:rFonts w:hint="eastAsia" w:ascii="宋体" w:hAnsi="宋体" w:eastAsia="宋体" w:cs="宋体"/>
                <w:b/>
                <w:bCs/>
                <w:snapToGrid w:val="0"/>
                <w:color w:val="FFFFFF"/>
                <w:sz w:val="24"/>
              </w:rPr>
              <w:t>管理项目</w:t>
            </w:r>
          </w:p>
        </w:tc>
        <w:tc>
          <w:tcPr>
            <w:tcW w:w="3386" w:type="pct"/>
            <w:tcBorders>
              <w:top w:val="single" w:color="000000" w:sz="4" w:space="0"/>
              <w:left w:val="single" w:color="000000" w:sz="4" w:space="0"/>
              <w:bottom w:val="single" w:color="000000" w:sz="4" w:space="0"/>
              <w:right w:val="single" w:color="000000" w:sz="4" w:space="0"/>
              <w:tl2br w:val="nil"/>
              <w:tr2bl w:val="nil"/>
            </w:tcBorders>
            <w:shd w:val="clear" w:color="auto" w:fill="538135"/>
            <w:vAlign w:val="center"/>
          </w:tcPr>
          <w:p>
            <w:pPr>
              <w:spacing w:line="360" w:lineRule="auto"/>
              <w:jc w:val="center"/>
              <w:rPr>
                <w:rFonts w:ascii="宋体" w:hAnsi="宋体" w:eastAsia="宋体" w:cs="宋体"/>
                <w:b/>
                <w:bCs/>
                <w:snapToGrid w:val="0"/>
                <w:color w:val="FFFFFF"/>
                <w:sz w:val="24"/>
              </w:rPr>
            </w:pPr>
            <w:r>
              <w:rPr>
                <w:rFonts w:hint="eastAsia" w:ascii="宋体" w:hAnsi="宋体" w:eastAsia="宋体" w:cs="宋体"/>
                <w:b/>
                <w:bCs/>
                <w:snapToGrid w:val="0"/>
                <w:color w:val="FFFFFF"/>
                <w:sz w:val="24"/>
              </w:rPr>
              <w:t>方法、流程</w:t>
            </w:r>
          </w:p>
        </w:tc>
      </w:tr>
      <w:tr>
        <w:tblPrEx>
          <w:tblCellMar>
            <w:top w:w="0" w:type="dxa"/>
            <w:left w:w="108" w:type="dxa"/>
            <w:bottom w:w="0" w:type="dxa"/>
            <w:right w:w="108" w:type="dxa"/>
          </w:tblCellMar>
        </w:tblPrEx>
        <w:trPr>
          <w:trHeight w:val="454" w:hRule="atLeast"/>
          <w:jc w:val="center"/>
        </w:trPr>
        <w:tc>
          <w:tcPr>
            <w:tcW w:w="161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供应商开发</w:t>
            </w:r>
          </w:p>
        </w:tc>
        <w:tc>
          <w:tcPr>
            <w:tcW w:w="3386"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公司根据年度新产品开发对材料的技术需求，通过网络、发函已合作供应商、行业协会等途径对所需材料按供应商评审程序进行联系和筛选。</w:t>
            </w:r>
          </w:p>
        </w:tc>
      </w:tr>
      <w:tr>
        <w:tblPrEx>
          <w:tblCellMar>
            <w:top w:w="0" w:type="dxa"/>
            <w:left w:w="108" w:type="dxa"/>
            <w:bottom w:w="0" w:type="dxa"/>
            <w:right w:w="108" w:type="dxa"/>
          </w:tblCellMar>
        </w:tblPrEx>
        <w:trPr>
          <w:trHeight w:val="454" w:hRule="atLeast"/>
          <w:jc w:val="center"/>
        </w:trPr>
        <w:tc>
          <w:tcPr>
            <w:tcW w:w="161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供应商审核</w:t>
            </w:r>
          </w:p>
        </w:tc>
        <w:tc>
          <w:tcPr>
            <w:tcW w:w="3386"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按照现场评审→小样品鉴定→小批量鉴定→综评→签订合同、建立合作关系的流程进行供应商的进入审核。</w:t>
            </w:r>
          </w:p>
        </w:tc>
      </w:tr>
      <w:tr>
        <w:tblPrEx>
          <w:tblCellMar>
            <w:top w:w="0" w:type="dxa"/>
            <w:left w:w="108" w:type="dxa"/>
            <w:bottom w:w="0" w:type="dxa"/>
            <w:right w:w="108" w:type="dxa"/>
          </w:tblCellMar>
        </w:tblPrEx>
        <w:trPr>
          <w:trHeight w:val="454" w:hRule="atLeast"/>
          <w:jc w:val="center"/>
        </w:trPr>
        <w:tc>
          <w:tcPr>
            <w:tcW w:w="1613"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合作供应商评估考核</w:t>
            </w:r>
          </w:p>
        </w:tc>
        <w:tc>
          <w:tcPr>
            <w:tcW w:w="3386"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从质量、交期、价格、服务四个维度对供应商的日常表现进行定期记录并考核，促进供应商提升供应水平。</w:t>
            </w:r>
          </w:p>
        </w:tc>
      </w:tr>
      <w:tr>
        <w:tblPrEx>
          <w:tblCellMar>
            <w:top w:w="0" w:type="dxa"/>
            <w:left w:w="108" w:type="dxa"/>
            <w:bottom w:w="0" w:type="dxa"/>
            <w:right w:w="108" w:type="dxa"/>
          </w:tblCellMar>
        </w:tblPrEx>
        <w:trPr>
          <w:trHeight w:val="454" w:hRule="atLeast"/>
          <w:jc w:val="center"/>
        </w:trPr>
        <w:tc>
          <w:tcPr>
            <w:tcW w:w="1613"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center"/>
              <w:rPr>
                <w:rFonts w:ascii="宋体" w:hAnsi="宋体" w:eastAsia="宋体" w:cs="宋体"/>
                <w:snapToGrid w:val="0"/>
                <w:color w:val="000000"/>
                <w:szCs w:val="22"/>
              </w:rPr>
            </w:pPr>
            <w:r>
              <w:rPr>
                <w:rFonts w:hint="eastAsia" w:ascii="宋体" w:hAnsi="宋体" w:eastAsia="宋体" w:cs="宋体"/>
                <w:snapToGrid w:val="0"/>
                <w:color w:val="000000"/>
                <w:szCs w:val="22"/>
              </w:rPr>
              <w:t>供应商竞争机制建设</w:t>
            </w:r>
          </w:p>
        </w:tc>
        <w:tc>
          <w:tcPr>
            <w:tcW w:w="3386" w:type="pct"/>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utoSpaceDN w:val="0"/>
              <w:adjustRightInd w:val="0"/>
              <w:jc w:val="left"/>
              <w:rPr>
                <w:rFonts w:ascii="宋体" w:hAnsi="宋体" w:eastAsia="宋体" w:cs="宋体"/>
                <w:snapToGrid w:val="0"/>
                <w:color w:val="000000"/>
                <w:szCs w:val="22"/>
              </w:rPr>
            </w:pPr>
            <w:r>
              <w:rPr>
                <w:rFonts w:hint="eastAsia" w:ascii="宋体" w:hAnsi="宋体" w:eastAsia="宋体" w:cs="宋体"/>
                <w:snapToGrid w:val="0"/>
                <w:color w:val="000000"/>
                <w:szCs w:val="22"/>
              </w:rPr>
              <w:t>主要材料开发两家及以上供应商供货及采取招标办法，形成良性竞争局势，促进供应商提升综合水准并达到控制成本的目的。</w:t>
            </w:r>
          </w:p>
        </w:tc>
      </w:tr>
    </w:tbl>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（4）生产过程诚信管理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依据生产过程准时交货、产品合格、效率最高、成本最小化、战略项目持续攻关的要求，为实现公司设定的生产计划达成率、产品一次交验合格率、重大安全事故为零、万元人均产值等绩效指标，公司设立了</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，结合先进设备、自主研究的信息化系统支持平台、持续改进的柔性化精益管理理念，以及产品个性化制定的特殊要求来设计产品制造过程。</w:t>
      </w:r>
    </w:p>
    <w:p>
      <w:pPr>
        <w:autoSpaceDE w:val="0"/>
        <w:autoSpaceDN w:val="0"/>
        <w:adjustRightInd w:val="0"/>
        <w:spacing w:line="360" w:lineRule="auto"/>
        <w:ind w:firstLine="464" w:firstLineChars="200"/>
        <w:jc w:val="left"/>
        <w:rPr>
          <w:rFonts w:ascii="宋体" w:hAnsi="宋体" w:eastAsia="宋体" w:cs="微软雅黑"/>
          <w:color w:val="000000"/>
          <w:spacing w:val="-4"/>
          <w:sz w:val="28"/>
          <w:szCs w:val="28"/>
        </w:rPr>
      </w:pPr>
      <w:r>
        <w:rPr>
          <w:rFonts w:hint="eastAsia" w:ascii="宋体" w:hAnsi="宋体" w:eastAsia="宋体" w:cs="微软雅黑"/>
          <w:color w:val="000000"/>
          <w:spacing w:val="-4"/>
          <w:sz w:val="24"/>
          <w:szCs w:val="28"/>
        </w:rPr>
        <w:t>公司将新工艺、新技术、各类生产经营信息，全面融合到整个生产过程中，借助</w:t>
      </w:r>
      <w:r>
        <w:rPr>
          <w:rFonts w:hint="eastAsia" w:ascii="宋体" w:hAnsi="宋体" w:eastAsia="宋体" w:cs="微软雅黑"/>
          <w:color w:val="000000"/>
          <w:spacing w:val="-4"/>
          <w:sz w:val="24"/>
          <w:szCs w:val="28"/>
          <w:lang w:val="en-US" w:eastAsia="zh-CN"/>
        </w:rPr>
        <w:t>ERP</w:t>
      </w:r>
      <w:r>
        <w:rPr>
          <w:rFonts w:hint="eastAsia" w:ascii="宋体" w:hAnsi="宋体" w:eastAsia="宋体" w:cs="微软雅黑"/>
          <w:color w:val="000000"/>
          <w:spacing w:val="-4"/>
          <w:sz w:val="24"/>
          <w:szCs w:val="28"/>
        </w:rPr>
        <w:t>优秀管理系统平台，以及深厚的行业实践经验和技术能力，优化流程持续提高产品过程流价值，满足客户的质量、交期、成本的要求。</w:t>
      </w:r>
    </w:p>
    <w:p>
      <w:pPr>
        <w:spacing w:before="156" w:beforeLines="50" w:line="360" w:lineRule="auto"/>
        <w:ind w:firstLine="482" w:firstLineChars="200"/>
        <w:outlineLvl w:val="2"/>
        <w:rPr>
          <w:rFonts w:ascii="宋体" w:hAnsi="宋体" w:eastAsia="宋体" w:cs="楷体"/>
          <w:b/>
          <w:color w:val="000000"/>
          <w:sz w:val="24"/>
          <w:szCs w:val="36"/>
        </w:rPr>
      </w:pPr>
      <w:bookmarkStart w:id="20" w:name="_Toc48809474"/>
      <w:r>
        <w:rPr>
          <w:rFonts w:hint="eastAsia" w:ascii="宋体" w:hAnsi="宋体" w:eastAsia="宋体" w:cs="楷体"/>
          <w:b/>
          <w:color w:val="000000"/>
          <w:sz w:val="24"/>
          <w:szCs w:val="36"/>
        </w:rPr>
        <w:t>（三）营销管理</w:t>
      </w:r>
      <w:bookmarkEnd w:id="20"/>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获取最大市场份额、顾客满意、完成销售任务的要求，为实现销售达成率、市场占有率、客户投诉率、销售收入增长率等绩效指标，公司设立</w:t>
      </w:r>
      <w:r>
        <w:rPr>
          <w:rFonts w:hint="eastAsia" w:ascii="宋体" w:hAnsi="宋体" w:eastAsia="宋体" w:cs="微软雅黑"/>
          <w:color w:val="000000"/>
          <w:spacing w:val="-4"/>
          <w:sz w:val="24"/>
          <w:szCs w:val="28"/>
          <w:lang w:eastAsia="zh-CN"/>
        </w:rPr>
        <w:t>销售科</w:t>
      </w:r>
      <w:r>
        <w:rPr>
          <w:rFonts w:hint="eastAsia" w:ascii="宋体" w:hAnsi="宋体" w:eastAsia="宋体" w:cs="微软雅黑"/>
          <w:color w:val="000000"/>
          <w:spacing w:val="-4"/>
          <w:sz w:val="24"/>
          <w:szCs w:val="28"/>
        </w:rPr>
        <w:t>。公司从市场调研和细分开始，收集情报，根据不同顾客群及其差异化需求，制定相应的营销方案或策略，在此基础上进行市场开发、建立业务关系、顾客服务与顾客管理等活动，并通过信息的传递、反馈，进行营销服务过程的设计。</w:t>
      </w:r>
    </w:p>
    <w:p>
      <w:pPr>
        <w:widowControl/>
        <w:spacing w:line="360" w:lineRule="auto"/>
        <w:jc w:val="center"/>
        <w:rPr>
          <w:rFonts w:ascii="宋体" w:hAnsi="宋体" w:eastAsia="宋体" w:cs="宋体"/>
          <w:bCs/>
          <w:szCs w:val="22"/>
        </w:rPr>
      </w:pPr>
      <w:r>
        <w:rPr>
          <w:rFonts w:ascii="宋体" w:hAnsi="宋体"/>
          <w:color w:val="000000"/>
          <w:sz w:val="17"/>
        </w:rPr>
        <w:drawing>
          <wp:inline distT="0" distB="0" distL="114300" distR="114300">
            <wp:extent cx="4648200" cy="2953385"/>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pic:cNvPicPr>
                  </pic:nvPicPr>
                  <pic:blipFill>
                    <a:blip r:embed="rId9"/>
                    <a:stretch>
                      <a:fillRect/>
                    </a:stretch>
                  </pic:blipFill>
                  <pic:spPr>
                    <a:xfrm>
                      <a:off x="0" y="0"/>
                      <a:ext cx="4655824" cy="2958403"/>
                    </a:xfrm>
                    <a:prstGeom prst="rect">
                      <a:avLst/>
                    </a:prstGeom>
                    <a:noFill/>
                    <a:ln>
                      <a:noFill/>
                    </a:ln>
                  </pic:spPr>
                </pic:pic>
              </a:graphicData>
            </a:graphic>
          </wp:inline>
        </w:drawing>
      </w:r>
    </w:p>
    <w:p>
      <w:pPr>
        <w:widowControl/>
        <w:spacing w:line="360" w:lineRule="auto"/>
        <w:jc w:val="center"/>
        <w:rPr>
          <w:rFonts w:ascii="宋体" w:hAnsi="宋体" w:eastAsia="宋体" w:cs="Times New Roman"/>
          <w:b/>
          <w:color w:val="FF0000"/>
          <w:sz w:val="24"/>
          <w:szCs w:val="28"/>
          <w:highlight w:val="yellow"/>
        </w:rPr>
      </w:pPr>
      <w:r>
        <w:rPr>
          <w:rFonts w:hint="eastAsia" w:ascii="宋体" w:hAnsi="宋体" w:eastAsia="宋体" w:cs="宋体"/>
          <w:b/>
          <w:sz w:val="24"/>
          <w:szCs w:val="28"/>
        </w:rPr>
        <w:t>图3 营销过程设计流程图</w:t>
      </w:r>
    </w:p>
    <w:p>
      <w:pPr>
        <w:spacing w:before="156" w:beforeLines="50" w:line="360" w:lineRule="auto"/>
        <w:outlineLvl w:val="1"/>
        <w:rPr>
          <w:rFonts w:ascii="宋体" w:hAnsi="宋体" w:eastAsia="宋体" w:cs="楷体"/>
          <w:b/>
          <w:color w:val="000000"/>
          <w:sz w:val="28"/>
          <w:szCs w:val="36"/>
        </w:rPr>
      </w:pPr>
      <w:bookmarkStart w:id="21" w:name="_Toc48809475"/>
      <w:r>
        <w:rPr>
          <w:rFonts w:hint="eastAsia" w:ascii="宋体" w:hAnsi="宋体" w:eastAsia="宋体" w:cs="楷体"/>
          <w:b/>
          <w:color w:val="000000"/>
          <w:sz w:val="28"/>
          <w:szCs w:val="36"/>
        </w:rPr>
        <w:t>四、企业质量基础</w:t>
      </w:r>
      <w:bookmarkEnd w:id="21"/>
    </w:p>
    <w:p>
      <w:pPr>
        <w:spacing w:line="360" w:lineRule="auto"/>
        <w:ind w:firstLine="482" w:firstLineChars="200"/>
        <w:outlineLvl w:val="2"/>
        <w:rPr>
          <w:rFonts w:ascii="宋体" w:hAnsi="宋体" w:eastAsia="宋体" w:cs="楷体"/>
          <w:b/>
          <w:color w:val="000000"/>
          <w:sz w:val="24"/>
          <w:szCs w:val="32"/>
        </w:rPr>
      </w:pPr>
      <w:bookmarkStart w:id="22" w:name="_Toc48809476"/>
      <w:r>
        <w:rPr>
          <w:rFonts w:hint="eastAsia" w:ascii="宋体" w:hAnsi="宋体" w:eastAsia="宋体" w:cs="楷体"/>
          <w:b/>
          <w:color w:val="000000"/>
          <w:sz w:val="24"/>
          <w:szCs w:val="32"/>
        </w:rPr>
        <w:t>（一）标准管理情况</w:t>
      </w:r>
      <w:bookmarkEnd w:id="22"/>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标准是提高产品品质和节能降耗的一个重要因素，公司积极引用国际标准及国外先进标准。在原材料采购、产品制造和加工、半成品和成品检验等各个产品生产环节制定较为严格的内控指标，并引用或制定相关标准为生产提供支撑，对整个生产环境加以标准化规范管理。为保证产品质量、提高企业的管理水平提供良好的保障。</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严格执行国家和行业技术标准外，在此基础上，</w:t>
      </w: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积极对标“国内一流 国际先进”的浙江制造团体标准</w:t>
      </w:r>
      <w:r>
        <w:rPr>
          <w:rFonts w:ascii="宋体" w:hAnsi="宋体" w:eastAsia="宋体"/>
          <w:sz w:val="24"/>
          <w:szCs w:val="24"/>
        </w:rPr>
        <w:t xml:space="preserve">T/ZZB </w:t>
      </w:r>
      <w:r>
        <w:rPr>
          <w:rFonts w:hint="eastAsia" w:ascii="宋体" w:hAnsi="宋体" w:eastAsia="宋体"/>
          <w:sz w:val="24"/>
          <w:szCs w:val="24"/>
          <w:lang w:val="en-US" w:eastAsia="zh-CN"/>
        </w:rPr>
        <w:t>1716—2020《1,3-二氟苯》</w:t>
      </w:r>
      <w:r>
        <w:rPr>
          <w:rFonts w:hint="eastAsia" w:ascii="宋体" w:hAnsi="宋体" w:eastAsia="宋体" w:cs="微软雅黑"/>
          <w:color w:val="000000"/>
          <w:spacing w:val="-4"/>
          <w:sz w:val="24"/>
          <w:szCs w:val="28"/>
        </w:rPr>
        <w:t>开展“浙江制造”认证。</w:t>
      </w:r>
    </w:p>
    <w:p>
      <w:pPr>
        <w:spacing w:line="360" w:lineRule="auto"/>
        <w:ind w:firstLine="482" w:firstLineChars="200"/>
        <w:outlineLvl w:val="2"/>
        <w:rPr>
          <w:rFonts w:ascii="宋体" w:hAnsi="宋体" w:eastAsia="宋体" w:cs="楷体"/>
          <w:b/>
          <w:color w:val="000000"/>
          <w:sz w:val="24"/>
          <w:szCs w:val="32"/>
        </w:rPr>
      </w:pPr>
      <w:bookmarkStart w:id="23" w:name="_Toc48809477"/>
      <w:r>
        <w:rPr>
          <w:rFonts w:hint="eastAsia" w:ascii="宋体" w:hAnsi="宋体" w:eastAsia="宋体" w:cs="楷体"/>
          <w:b/>
          <w:color w:val="000000"/>
          <w:sz w:val="24"/>
          <w:szCs w:val="32"/>
        </w:rPr>
        <w:t>（二）计量管理情况</w:t>
      </w:r>
      <w:bookmarkEnd w:id="23"/>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公司建立了较完善的计量保证体系，出台了计量手册、程序文件等，确定了企业近期的计量方针和目标，规定了计量管理机构及人员的权限和职责，描述了计量活动的诸要素，规定了</w:t>
      </w:r>
      <w:r>
        <w:rPr>
          <w:rFonts w:hint="eastAsia" w:ascii="宋体" w:hAnsi="宋体" w:eastAsia="宋体" w:cs="微软雅黑"/>
          <w:color w:val="000000"/>
          <w:spacing w:val="-4"/>
          <w:sz w:val="24"/>
          <w:szCs w:val="28"/>
          <w:lang w:eastAsia="zh-CN"/>
        </w:rPr>
        <w:t>浙江解氏新材料股份有限公司</w:t>
      </w:r>
      <w:r>
        <w:rPr>
          <w:rFonts w:hint="eastAsia" w:ascii="宋体" w:hAnsi="宋体" w:eastAsia="宋体" w:cs="微软雅黑"/>
          <w:color w:val="000000"/>
          <w:spacing w:val="-4"/>
          <w:sz w:val="24"/>
          <w:szCs w:val="28"/>
        </w:rPr>
        <w:t>的计量方针、目标、计量管理机构的设置、主要职能部门、人员的计量职责、计量体系要求的建立、计量体系文件和管理等。</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负责生产制造相关基础设施的维护，严格按照维护保养制度落实，确保生产设施始终处于良好运行状态。办公室负责对厂房、办公楼、食堂、宿舍等生活、后勤、办公设施的维护。公司制定了设备三级保养制度等设备维护保养相关制度。每台设备均建立了档案资料，包括设备图纸、使用说明书、使用/维护保养工艺卡、验收报告、日常点检保养记录等，并实行车间、维修人员、使用人员的三级预防性维护保养制度。</w:t>
      </w:r>
    </w:p>
    <w:p>
      <w:pPr>
        <w:jc w:val="center"/>
        <w:rPr>
          <w:rFonts w:ascii="宋体" w:hAnsi="宋体" w:eastAsia="宋体" w:cs="宋体"/>
          <w:b/>
          <w:bCs/>
          <w:sz w:val="24"/>
        </w:rPr>
      </w:pPr>
      <w:r>
        <w:rPr>
          <w:rFonts w:hint="eastAsia" w:ascii="宋体" w:hAnsi="宋体" w:eastAsia="宋体" w:cs="宋体"/>
          <w:b/>
          <w:bCs/>
          <w:sz w:val="24"/>
        </w:rPr>
        <w:t>表3 设备三级维护保养制度</w:t>
      </w:r>
    </w:p>
    <w:tbl>
      <w:tblPr>
        <w:tblStyle w:val="1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37"/>
        <w:gridCol w:w="3784"/>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jc w:val="center"/>
        </w:trPr>
        <w:tc>
          <w:tcPr>
            <w:tcW w:w="961" w:type="dxa"/>
            <w:shd w:val="clear" w:color="auto" w:fill="538135"/>
            <w:vAlign w:val="center"/>
          </w:tcPr>
          <w:p>
            <w:pPr>
              <w:adjustRightInd w:val="0"/>
              <w:snapToGrid w:val="0"/>
              <w:spacing w:before="50" w:line="300" w:lineRule="auto"/>
              <w:jc w:val="center"/>
              <w:rPr>
                <w:rFonts w:ascii="宋体" w:hAnsi="宋体" w:eastAsia="宋体" w:cs="Times New Roman"/>
                <w:b/>
                <w:bCs/>
                <w:snapToGrid w:val="0"/>
                <w:color w:val="FFFFFF"/>
                <w:sz w:val="24"/>
              </w:rPr>
            </w:pPr>
            <w:r>
              <w:rPr>
                <w:rFonts w:hint="eastAsia" w:ascii="宋体" w:hAnsi="宋体" w:eastAsia="宋体" w:cs="宋体"/>
                <w:b/>
                <w:bCs/>
                <w:snapToGrid w:val="0"/>
                <w:color w:val="FFFFFF"/>
                <w:sz w:val="24"/>
              </w:rPr>
              <w:t>级别</w:t>
            </w:r>
          </w:p>
        </w:tc>
        <w:tc>
          <w:tcPr>
            <w:tcW w:w="1937" w:type="dxa"/>
            <w:shd w:val="clear" w:color="auto" w:fill="538135"/>
            <w:vAlign w:val="center"/>
          </w:tcPr>
          <w:p>
            <w:pPr>
              <w:adjustRightInd w:val="0"/>
              <w:snapToGrid w:val="0"/>
              <w:spacing w:before="50" w:line="300" w:lineRule="auto"/>
              <w:jc w:val="center"/>
              <w:rPr>
                <w:rFonts w:ascii="宋体" w:hAnsi="宋体" w:eastAsia="宋体" w:cs="Times New Roman"/>
                <w:b/>
                <w:bCs/>
                <w:snapToGrid w:val="0"/>
                <w:color w:val="FFFFFF"/>
                <w:sz w:val="24"/>
              </w:rPr>
            </w:pPr>
            <w:r>
              <w:rPr>
                <w:rFonts w:hint="eastAsia" w:ascii="宋体" w:hAnsi="宋体" w:eastAsia="宋体" w:cs="宋体"/>
                <w:b/>
                <w:bCs/>
                <w:snapToGrid w:val="0"/>
                <w:color w:val="FFFFFF"/>
                <w:sz w:val="24"/>
              </w:rPr>
              <w:t>负责人</w:t>
            </w:r>
          </w:p>
        </w:tc>
        <w:tc>
          <w:tcPr>
            <w:tcW w:w="3784" w:type="dxa"/>
            <w:shd w:val="clear" w:color="auto" w:fill="538135"/>
            <w:vAlign w:val="center"/>
          </w:tcPr>
          <w:p>
            <w:pPr>
              <w:adjustRightInd w:val="0"/>
              <w:snapToGrid w:val="0"/>
              <w:spacing w:before="50" w:line="300" w:lineRule="auto"/>
              <w:jc w:val="center"/>
              <w:rPr>
                <w:rFonts w:ascii="宋体" w:hAnsi="宋体" w:eastAsia="宋体" w:cs="Times New Roman"/>
                <w:b/>
                <w:bCs/>
                <w:snapToGrid w:val="0"/>
                <w:color w:val="FFFFFF"/>
                <w:sz w:val="24"/>
              </w:rPr>
            </w:pPr>
            <w:r>
              <w:rPr>
                <w:rFonts w:hint="eastAsia" w:ascii="宋体" w:hAnsi="宋体" w:eastAsia="宋体" w:cs="宋体"/>
                <w:b/>
                <w:bCs/>
                <w:snapToGrid w:val="0"/>
                <w:color w:val="FFFFFF"/>
                <w:sz w:val="24"/>
              </w:rPr>
              <w:t>方法</w:t>
            </w:r>
          </w:p>
        </w:tc>
        <w:tc>
          <w:tcPr>
            <w:tcW w:w="2888" w:type="dxa"/>
            <w:shd w:val="clear" w:color="auto" w:fill="538135"/>
            <w:vAlign w:val="center"/>
          </w:tcPr>
          <w:p>
            <w:pPr>
              <w:adjustRightInd w:val="0"/>
              <w:snapToGrid w:val="0"/>
              <w:spacing w:before="50" w:line="300" w:lineRule="auto"/>
              <w:jc w:val="center"/>
              <w:rPr>
                <w:rFonts w:ascii="宋体" w:hAnsi="宋体" w:eastAsia="宋体" w:cs="Times New Roman"/>
                <w:b/>
                <w:bCs/>
                <w:snapToGrid w:val="0"/>
                <w:color w:val="FFFFFF"/>
                <w:sz w:val="24"/>
              </w:rPr>
            </w:pPr>
            <w:r>
              <w:rPr>
                <w:rFonts w:hint="eastAsia" w:ascii="宋体" w:hAnsi="宋体" w:eastAsia="宋体" w:cs="宋体"/>
                <w:b/>
                <w:bCs/>
                <w:snapToGrid w:val="0"/>
                <w:color w:val="FFFFFF"/>
                <w:sz w:val="24"/>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61"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一级</w:t>
            </w:r>
          </w:p>
        </w:tc>
        <w:tc>
          <w:tcPr>
            <w:tcW w:w="1937"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lang w:eastAsia="zh-CN"/>
              </w:rPr>
              <w:t>生产部</w:t>
            </w:r>
            <w:r>
              <w:rPr>
                <w:rFonts w:hint="eastAsia" w:ascii="宋体" w:hAnsi="宋体" w:eastAsia="宋体" w:cs="宋体"/>
                <w:snapToGrid w:val="0"/>
                <w:color w:val="000000"/>
                <w:szCs w:val="22"/>
              </w:rPr>
              <w:t>负责人</w:t>
            </w:r>
          </w:p>
        </w:tc>
        <w:tc>
          <w:tcPr>
            <w:tcW w:w="3784"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年度大修设备</w:t>
            </w:r>
          </w:p>
        </w:tc>
        <w:tc>
          <w:tcPr>
            <w:tcW w:w="2888"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设备记录表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二级</w:t>
            </w:r>
          </w:p>
        </w:tc>
        <w:tc>
          <w:tcPr>
            <w:tcW w:w="1937"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维修人员</w:t>
            </w:r>
          </w:p>
        </w:tc>
        <w:tc>
          <w:tcPr>
            <w:tcW w:w="3784"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按保养计划，定期检查、维护、保养（月检、季检等）</w:t>
            </w:r>
          </w:p>
        </w:tc>
        <w:tc>
          <w:tcPr>
            <w:tcW w:w="2888"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设备维修记录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61"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三级</w:t>
            </w:r>
          </w:p>
        </w:tc>
        <w:tc>
          <w:tcPr>
            <w:tcW w:w="1937"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员工</w:t>
            </w:r>
          </w:p>
        </w:tc>
        <w:tc>
          <w:tcPr>
            <w:tcW w:w="3784"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宋体"/>
                <w:snapToGrid w:val="0"/>
                <w:color w:val="000000"/>
                <w:szCs w:val="22"/>
              </w:rPr>
              <w:t>每日检查、日常点检</w:t>
            </w:r>
          </w:p>
        </w:tc>
        <w:tc>
          <w:tcPr>
            <w:tcW w:w="2888" w:type="dxa"/>
            <w:vAlign w:val="center"/>
          </w:tcPr>
          <w:p>
            <w:pPr>
              <w:adjustRightInd w:val="0"/>
              <w:snapToGrid w:val="0"/>
              <w:jc w:val="center"/>
              <w:rPr>
                <w:rFonts w:ascii="宋体" w:hAnsi="宋体" w:eastAsia="宋体" w:cs="Times New Roman"/>
                <w:snapToGrid w:val="0"/>
                <w:color w:val="000000"/>
                <w:szCs w:val="22"/>
              </w:rPr>
            </w:pPr>
            <w:r>
              <w:rPr>
                <w:rFonts w:hint="eastAsia" w:ascii="宋体" w:hAnsi="宋体" w:eastAsia="宋体" w:cs="Times New Roman"/>
                <w:snapToGrid w:val="0"/>
                <w:color w:val="000000"/>
                <w:szCs w:val="22"/>
              </w:rPr>
              <w:t>设备点检表</w:t>
            </w:r>
          </w:p>
        </w:tc>
      </w:tr>
    </w:tbl>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制定设备维修保养计划时，充分考虑设备的故障规律，并根据设备的实际使用情况和以往的维修记录，识别出设备的薄弱部件，做好备品配件，以便在设备出现临时故障时能够快速反应，快速恢复生产。</w:t>
      </w:r>
    </w:p>
    <w:p>
      <w:pPr>
        <w:spacing w:line="360" w:lineRule="auto"/>
        <w:ind w:firstLine="482" w:firstLineChars="200"/>
        <w:outlineLvl w:val="2"/>
        <w:rPr>
          <w:rFonts w:ascii="宋体" w:hAnsi="宋体" w:eastAsia="宋体" w:cs="楷体"/>
          <w:b/>
          <w:color w:val="000000"/>
          <w:sz w:val="24"/>
          <w:szCs w:val="32"/>
        </w:rPr>
      </w:pPr>
      <w:bookmarkStart w:id="24" w:name="_Toc48809478"/>
      <w:r>
        <w:rPr>
          <w:rFonts w:hint="eastAsia" w:ascii="宋体" w:hAnsi="宋体" w:eastAsia="宋体" w:cs="楷体"/>
          <w:b/>
          <w:color w:val="000000"/>
          <w:sz w:val="24"/>
          <w:szCs w:val="32"/>
        </w:rPr>
        <w:t>（三）认证管理情况</w:t>
      </w:r>
      <w:bookmarkEnd w:id="24"/>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64" w:firstLineChars="200"/>
        <w:textAlignment w:val="auto"/>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公司通过了ISO 9001质量管理体系认证、ISO 14001环境管理体系认证、ISO 45001职业健康安全管理体系认证。同时，公司一直致力于管理进步和管理创新，通过技术进步和管理创新，持续改进产品质量，不断满足顾客日益增长的需求。</w:t>
      </w:r>
    </w:p>
    <w:p>
      <w:pPr>
        <w:spacing w:line="360" w:lineRule="auto"/>
        <w:ind w:firstLine="482" w:firstLineChars="200"/>
        <w:outlineLvl w:val="2"/>
        <w:rPr>
          <w:rFonts w:ascii="宋体" w:hAnsi="宋体" w:eastAsia="宋体" w:cs="楷体"/>
          <w:b/>
          <w:color w:val="000000"/>
          <w:sz w:val="24"/>
          <w:szCs w:val="32"/>
        </w:rPr>
      </w:pPr>
      <w:bookmarkStart w:id="25" w:name="_Toc48809479"/>
      <w:r>
        <w:rPr>
          <w:rFonts w:hint="eastAsia" w:ascii="宋体" w:hAnsi="宋体" w:eastAsia="宋体" w:cs="楷体"/>
          <w:b/>
          <w:color w:val="000000"/>
          <w:sz w:val="24"/>
          <w:szCs w:val="32"/>
        </w:rPr>
        <w:t>（四）检验设备管理情况</w:t>
      </w:r>
      <w:bookmarkEnd w:id="25"/>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对检测器具从采购、验收、使用严格按照仪器设备管理程序执行，实验室有专人保管计量器具，建立台帐和登记手续，检测仪器的使用必须通过检定，有检定合格证方可投入使用；对在用的检测仪器设备严格按周期检定，强化现场检查和监管，掌握其使用情况，发现问题及时处理；对存在问题部门提出整改意见，采取积极有效措施进行整改，为生产、销售离合器产品奠定了坚实的的计量基础。</w:t>
      </w:r>
    </w:p>
    <w:p>
      <w:pPr>
        <w:spacing w:before="156" w:beforeLines="50" w:line="360" w:lineRule="auto"/>
        <w:outlineLvl w:val="1"/>
        <w:rPr>
          <w:rFonts w:ascii="宋体" w:hAnsi="宋体" w:eastAsia="宋体" w:cs="楷体"/>
          <w:b/>
          <w:color w:val="000000"/>
          <w:sz w:val="28"/>
          <w:szCs w:val="36"/>
        </w:rPr>
      </w:pPr>
      <w:bookmarkStart w:id="26" w:name="_Toc48809480"/>
      <w:r>
        <w:rPr>
          <w:rFonts w:hint="eastAsia" w:ascii="宋体" w:hAnsi="宋体" w:eastAsia="宋体" w:cs="楷体"/>
          <w:b/>
          <w:color w:val="000000"/>
          <w:sz w:val="28"/>
          <w:szCs w:val="36"/>
        </w:rPr>
        <w:t>五、产品质量责任</w:t>
      </w:r>
      <w:bookmarkEnd w:id="26"/>
    </w:p>
    <w:p>
      <w:pPr>
        <w:spacing w:line="360" w:lineRule="auto"/>
        <w:ind w:firstLine="482" w:firstLineChars="200"/>
        <w:outlineLvl w:val="2"/>
        <w:rPr>
          <w:rFonts w:ascii="宋体" w:hAnsi="宋体" w:eastAsia="宋体" w:cs="楷体"/>
          <w:b/>
          <w:color w:val="000000"/>
          <w:sz w:val="24"/>
          <w:szCs w:val="32"/>
        </w:rPr>
      </w:pPr>
      <w:bookmarkStart w:id="27" w:name="_Toc48809481"/>
      <w:r>
        <w:rPr>
          <w:rFonts w:hint="eastAsia" w:ascii="宋体" w:hAnsi="宋体" w:eastAsia="宋体" w:cs="楷体"/>
          <w:b/>
          <w:color w:val="000000"/>
          <w:sz w:val="24"/>
          <w:szCs w:val="32"/>
        </w:rPr>
        <w:t>（一）产品质量水平</w:t>
      </w:r>
      <w:bookmarkEnd w:id="27"/>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行巡检和成品检验，制定了作业指导书，实行动态质量监控，对成品逐台进行严格的工艺控制和质量把关。对不合格品做上标识并放入不合格品区。对现场出现的问题及时分析原因，提出纠正预防改进措施，进行品质通报，确保产品符合质量标准。</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每个车间还设立专职质量管理人员，对本车间的成品实行质量抽查，对各个生产工位进行巡回检查，对容易出现质量问题的工位和操作工进行重点监督和指导。同时，加强对生产环境的监督，对影响产品和员工安全的因素及时改正，并要求员工做好相关安全防护措施，确保安全生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公司认证的产品“</w:t>
      </w:r>
      <w:r>
        <w:rPr>
          <w:rFonts w:hint="eastAsia" w:ascii="宋体" w:hAnsi="宋体" w:eastAsia="宋体"/>
          <w:sz w:val="24"/>
          <w:szCs w:val="24"/>
          <w:lang w:eastAsia="zh-CN"/>
        </w:rPr>
        <w:t>1,3-二氟苯</w:t>
      </w:r>
      <w:r>
        <w:rPr>
          <w:rFonts w:hint="eastAsia" w:ascii="宋体" w:hAnsi="宋体" w:eastAsia="宋体"/>
          <w:sz w:val="24"/>
          <w:szCs w:val="24"/>
        </w:rPr>
        <w:t xml:space="preserve">”的所有技术指标均符合“浙江制造”团体标准T/ZZB </w:t>
      </w:r>
      <w:r>
        <w:rPr>
          <w:rFonts w:hint="eastAsia" w:ascii="宋体" w:hAnsi="宋体" w:eastAsia="宋体"/>
          <w:sz w:val="24"/>
          <w:szCs w:val="24"/>
          <w:lang w:val="en-US" w:eastAsia="zh-CN"/>
        </w:rPr>
        <w:t>1716—2020《1,3-二氟苯》</w:t>
      </w:r>
      <w:r>
        <w:rPr>
          <w:rFonts w:hint="eastAsia" w:ascii="宋体" w:hAnsi="宋体" w:eastAsia="宋体"/>
          <w:sz w:val="24"/>
          <w:szCs w:val="24"/>
        </w:rPr>
        <w:t>的相关要求</w:t>
      </w:r>
      <w:r>
        <w:rPr>
          <w:rFonts w:hint="eastAsia" w:ascii="宋体" w:hAnsi="宋体" w:eastAsia="宋体"/>
          <w:sz w:val="24"/>
          <w:szCs w:val="24"/>
          <w:lang w:eastAsia="zh-CN"/>
        </w:rPr>
        <w:t>，</w:t>
      </w:r>
      <w:r>
        <w:rPr>
          <w:rFonts w:hint="eastAsia" w:ascii="宋体" w:hAnsi="宋体" w:eastAsia="宋体"/>
          <w:sz w:val="24"/>
          <w:szCs w:val="24"/>
        </w:rPr>
        <w:t>该标准中的核心技术指标外观、间二氟苯质量分数、水分质量分数、氟苯质量分数、同分异构体质量分数等在企业标准Q/XS 001-2019《间二氟苯》的基础上均有提升。充分体现了本标准在产品上的先进性和经济上的合理性，其主要技术指标达到“国内一流、国际先进”</w:t>
      </w:r>
      <w:bookmarkStart w:id="34" w:name="_GoBack"/>
      <w:bookmarkEnd w:id="34"/>
      <w:r>
        <w:rPr>
          <w:rFonts w:hint="eastAsia" w:ascii="宋体" w:hAnsi="宋体" w:eastAsia="宋体"/>
          <w:sz w:val="24"/>
          <w:szCs w:val="24"/>
        </w:rPr>
        <w:t>的水平。</w:t>
      </w:r>
    </w:p>
    <w:p>
      <w:pPr>
        <w:jc w:val="center"/>
        <w:rPr>
          <w:rFonts w:hint="eastAsia" w:ascii="宋体" w:hAnsi="宋体" w:eastAsia="宋体" w:cs="宋体"/>
          <w:b/>
          <w:bCs/>
          <w:sz w:val="24"/>
        </w:rPr>
      </w:pPr>
      <w:r>
        <w:rPr>
          <w:rFonts w:hint="eastAsia" w:ascii="宋体" w:hAnsi="宋体" w:eastAsia="宋体" w:cs="宋体"/>
          <w:b/>
          <w:bCs/>
          <w:sz w:val="24"/>
        </w:rPr>
        <w:t>表</w:t>
      </w:r>
      <w:r>
        <w:rPr>
          <w:rFonts w:hint="eastAsia" w:ascii="宋体" w:hAnsi="宋体" w:eastAsia="宋体" w:cs="宋体"/>
          <w:b/>
          <w:bCs/>
          <w:sz w:val="24"/>
          <w:lang w:val="en-US" w:eastAsia="zh-CN"/>
        </w:rPr>
        <w:t xml:space="preserve">4 </w:t>
      </w:r>
      <w:r>
        <w:rPr>
          <w:rFonts w:hint="eastAsia" w:ascii="宋体" w:hAnsi="宋体" w:eastAsia="宋体" w:cs="宋体"/>
          <w:b/>
          <w:bCs/>
          <w:sz w:val="24"/>
        </w:rPr>
        <w:t>核心技术指标对标表</w:t>
      </w:r>
    </w:p>
    <w:tbl>
      <w:tblPr>
        <w:tblStyle w:val="17"/>
        <w:tblW w:w="4996"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008"/>
        <w:gridCol w:w="1832"/>
        <w:gridCol w:w="1246"/>
        <w:gridCol w:w="1378"/>
        <w:gridCol w:w="1226"/>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blCellSpacing w:w="0" w:type="dxa"/>
          <w:jc w:val="center"/>
        </w:trPr>
        <w:tc>
          <w:tcPr>
            <w:tcW w:w="820" w:type="pct"/>
            <w:gridSpan w:val="2"/>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bookmarkStart w:id="28" w:name="_Toc48809482"/>
            <w:r>
              <w:rPr>
                <w:rFonts w:hint="eastAsia" w:ascii="宋体" w:hAnsi="宋体" w:eastAsia="宋体" w:cs="宋体"/>
                <w:b/>
                <w:bCs/>
                <w:color w:val="FFFFFF"/>
                <w:kern w:val="0"/>
                <w:sz w:val="21"/>
                <w:szCs w:val="21"/>
                <w:highlight w:val="none"/>
              </w:rPr>
              <w:t>项目</w:t>
            </w:r>
          </w:p>
        </w:tc>
        <w:tc>
          <w:tcPr>
            <w:tcW w:w="956" w:type="pct"/>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r>
              <w:rPr>
                <w:rFonts w:hint="eastAsia" w:ascii="宋体" w:hAnsi="宋体" w:eastAsia="宋体" w:cs="宋体"/>
                <w:b/>
                <w:bCs/>
                <w:color w:val="FFFFFF"/>
                <w:kern w:val="0"/>
                <w:sz w:val="21"/>
                <w:szCs w:val="21"/>
                <w:highlight w:val="none"/>
              </w:rPr>
              <w:t>企业标准Q/XS001-2019</w:t>
            </w:r>
          </w:p>
        </w:tc>
        <w:tc>
          <w:tcPr>
            <w:tcW w:w="650" w:type="pct"/>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r>
              <w:rPr>
                <w:rFonts w:hint="eastAsia" w:ascii="宋体" w:hAnsi="宋体" w:eastAsia="宋体" w:cs="宋体"/>
                <w:b/>
                <w:bCs/>
                <w:color w:val="FFFFFF"/>
                <w:kern w:val="0"/>
                <w:sz w:val="21"/>
                <w:szCs w:val="21"/>
                <w:highlight w:val="none"/>
              </w:rPr>
              <w:t>浙江制造标准</w:t>
            </w:r>
          </w:p>
        </w:tc>
        <w:tc>
          <w:tcPr>
            <w:tcW w:w="719" w:type="pct"/>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r>
              <w:rPr>
                <w:rFonts w:hint="eastAsia" w:ascii="宋体" w:hAnsi="宋体" w:eastAsia="宋体" w:cs="宋体"/>
                <w:b/>
                <w:bCs/>
                <w:color w:val="FFFFFF"/>
                <w:kern w:val="0"/>
                <w:sz w:val="21"/>
                <w:szCs w:val="21"/>
                <w:highlight w:val="none"/>
              </w:rPr>
              <w:t>欧美高端客户</w:t>
            </w:r>
            <w:r>
              <w:rPr>
                <w:rFonts w:hint="eastAsia" w:ascii="宋体" w:hAnsi="宋体" w:eastAsia="宋体" w:cs="宋体"/>
                <w:b/>
                <w:bCs/>
                <w:color w:val="FFFFFF"/>
                <w:kern w:val="0"/>
                <w:sz w:val="21"/>
                <w:szCs w:val="21"/>
                <w:highlight w:val="none"/>
                <w:lang w:val="en-US" w:eastAsia="zh-CN"/>
              </w:rPr>
              <w:t>Bayer AG</w:t>
            </w:r>
            <w:r>
              <w:rPr>
                <w:rFonts w:hint="eastAsia" w:ascii="宋体" w:hAnsi="宋体" w:eastAsia="宋体" w:cs="宋体"/>
                <w:b/>
                <w:bCs/>
                <w:color w:val="FFFFFF"/>
                <w:kern w:val="0"/>
                <w:sz w:val="21"/>
                <w:szCs w:val="21"/>
                <w:highlight w:val="none"/>
              </w:rPr>
              <w:t>要求</w:t>
            </w:r>
          </w:p>
        </w:tc>
        <w:tc>
          <w:tcPr>
            <w:tcW w:w="640" w:type="pct"/>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r>
              <w:rPr>
                <w:rFonts w:hint="eastAsia" w:ascii="宋体" w:hAnsi="宋体" w:eastAsia="宋体" w:cs="宋体"/>
                <w:b/>
                <w:bCs/>
                <w:color w:val="FFFFFF"/>
                <w:kern w:val="0"/>
                <w:sz w:val="21"/>
                <w:szCs w:val="21"/>
                <w:highlight w:val="none"/>
              </w:rPr>
              <w:t>指标变化情况</w:t>
            </w:r>
          </w:p>
        </w:tc>
        <w:tc>
          <w:tcPr>
            <w:tcW w:w="1212" w:type="pct"/>
            <w:tcBorders>
              <w:tl2br w:val="nil"/>
              <w:tr2bl w:val="nil"/>
            </w:tcBorders>
            <w:shd w:val="clear" w:color="auto" w:fill="538135"/>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FFFFFF"/>
                <w:kern w:val="0"/>
                <w:sz w:val="21"/>
                <w:szCs w:val="21"/>
                <w:highlight w:val="none"/>
              </w:rPr>
            </w:pPr>
            <w:r>
              <w:rPr>
                <w:rFonts w:hint="eastAsia" w:ascii="宋体" w:hAnsi="宋体" w:eastAsia="宋体" w:cs="宋体"/>
                <w:b/>
                <w:bCs/>
                <w:color w:val="FFFFFF"/>
                <w:kern w:val="0"/>
                <w:sz w:val="21"/>
                <w:szCs w:val="21"/>
                <w:highlight w:val="none"/>
              </w:rPr>
              <w:t>提升指标说明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820" w:type="pct"/>
            <w:gridSpan w:val="2"/>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外观</w:t>
            </w:r>
          </w:p>
        </w:tc>
        <w:tc>
          <w:tcPr>
            <w:tcW w:w="956"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透明液体</w:t>
            </w:r>
          </w:p>
        </w:tc>
        <w:tc>
          <w:tcPr>
            <w:tcW w:w="650"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无色透明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液体</w:t>
            </w:r>
          </w:p>
        </w:tc>
        <w:tc>
          <w:tcPr>
            <w:tcW w:w="719"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无色透明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液体</w:t>
            </w:r>
          </w:p>
        </w:tc>
        <w:tc>
          <w:tcPr>
            <w:tcW w:w="640" w:type="pct"/>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加严</w:t>
            </w:r>
          </w:p>
        </w:tc>
        <w:tc>
          <w:tcPr>
            <w:tcW w:w="1212" w:type="pct"/>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该指标与高于欧美高端客户要求持平，高于印度相关企业，比企标的要求高。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820" w:type="pct"/>
            <w:gridSpan w:val="2"/>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间二氟苯</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质量分数</w:t>
            </w:r>
          </w:p>
        </w:tc>
        <w:tc>
          <w:tcPr>
            <w:tcW w:w="956"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≥99.50%</w:t>
            </w:r>
          </w:p>
        </w:tc>
        <w:tc>
          <w:tcPr>
            <w:tcW w:w="650"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≥99.80%</w:t>
            </w:r>
          </w:p>
        </w:tc>
        <w:tc>
          <w:tcPr>
            <w:tcW w:w="719"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≥99.70%</w:t>
            </w:r>
          </w:p>
        </w:tc>
        <w:tc>
          <w:tcPr>
            <w:tcW w:w="640" w:type="pct"/>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提升</w:t>
            </w:r>
          </w:p>
        </w:tc>
        <w:tc>
          <w:tcPr>
            <w:tcW w:w="1212" w:type="pct"/>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该指标国内外最优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294" w:type="pct"/>
            <w:vMerge w:val="restar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主要</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杂质</w:t>
            </w:r>
          </w:p>
        </w:tc>
        <w:tc>
          <w:tcPr>
            <w:tcW w:w="526"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氟苯</w:t>
            </w:r>
            <w:r>
              <w:rPr>
                <w:rFonts w:hint="eastAsia" w:ascii="宋体" w:hAnsi="宋体" w:eastAsia="宋体" w:cs="宋体"/>
                <w:sz w:val="21"/>
                <w:szCs w:val="21"/>
                <w:lang w:val="en-US" w:eastAsia="zh-CN"/>
              </w:rPr>
              <w:t>质量分数</w:t>
            </w:r>
          </w:p>
        </w:tc>
        <w:tc>
          <w:tcPr>
            <w:tcW w:w="956" w:type="pct"/>
            <w:vMerge w:val="restar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≤0.10%</w:t>
            </w:r>
          </w:p>
        </w:tc>
        <w:tc>
          <w:tcPr>
            <w:tcW w:w="650" w:type="pct"/>
            <w:tcBorders>
              <w:tl2br w:val="nil"/>
              <w:tr2bl w:val="nil"/>
            </w:tcBorders>
            <w:noWrap/>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≤0.06%</w:t>
            </w:r>
          </w:p>
        </w:tc>
        <w:tc>
          <w:tcPr>
            <w:tcW w:w="719" w:type="pct"/>
            <w:vMerge w:val="restart"/>
            <w:tcBorders>
              <w:tl2br w:val="nil"/>
              <w:tr2bl w:val="nil"/>
            </w:tcBorders>
            <w:noWrap/>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≤0.07%</w:t>
            </w:r>
          </w:p>
        </w:tc>
        <w:tc>
          <w:tcPr>
            <w:tcW w:w="640" w:type="pct"/>
            <w:vMerge w:val="restart"/>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提升</w:t>
            </w:r>
          </w:p>
        </w:tc>
        <w:tc>
          <w:tcPr>
            <w:tcW w:w="1212" w:type="pct"/>
            <w:vMerge w:val="restart"/>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该指标国内外最优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294" w:type="pct"/>
            <w:vMerge w:val="continue"/>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p>
        </w:tc>
        <w:tc>
          <w:tcPr>
            <w:tcW w:w="526"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同分异构体</w:t>
            </w:r>
            <w:r>
              <w:rPr>
                <w:rFonts w:hint="eastAsia" w:ascii="宋体" w:hAnsi="宋体" w:eastAsia="宋体" w:cs="宋体"/>
                <w:sz w:val="21"/>
                <w:szCs w:val="21"/>
                <w:lang w:val="en-US" w:eastAsia="zh-CN"/>
              </w:rPr>
              <w:t>质量分数</w:t>
            </w:r>
          </w:p>
        </w:tc>
        <w:tc>
          <w:tcPr>
            <w:tcW w:w="956" w:type="pct"/>
            <w:vMerge w:val="continue"/>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p>
        </w:tc>
        <w:tc>
          <w:tcPr>
            <w:tcW w:w="650" w:type="pct"/>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≤0.05%</w:t>
            </w:r>
          </w:p>
        </w:tc>
        <w:tc>
          <w:tcPr>
            <w:tcW w:w="719" w:type="pct"/>
            <w:vMerge w:val="continue"/>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kern w:val="0"/>
                <w:sz w:val="21"/>
                <w:szCs w:val="21"/>
              </w:rPr>
            </w:pPr>
          </w:p>
        </w:tc>
        <w:tc>
          <w:tcPr>
            <w:tcW w:w="640" w:type="pct"/>
            <w:vMerge w:val="continue"/>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p>
        </w:tc>
        <w:tc>
          <w:tcPr>
            <w:tcW w:w="1212" w:type="pct"/>
            <w:vMerge w:val="continue"/>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820" w:type="pct"/>
            <w:gridSpan w:val="2"/>
            <w:tcBorders>
              <w:tl2br w:val="nil"/>
              <w:tr2bl w:val="nil"/>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水分</w:t>
            </w:r>
            <w:r>
              <w:rPr>
                <w:rFonts w:hint="eastAsia" w:ascii="宋体" w:hAnsi="宋体" w:eastAsia="宋体" w:cs="宋体"/>
                <w:sz w:val="21"/>
                <w:szCs w:val="21"/>
                <w:lang w:val="en-US" w:eastAsia="zh-CN"/>
              </w:rPr>
              <w:t>质量分数</w:t>
            </w:r>
          </w:p>
        </w:tc>
        <w:tc>
          <w:tcPr>
            <w:tcW w:w="956" w:type="pct"/>
            <w:tcBorders>
              <w:tl2br w:val="nil"/>
              <w:tr2bl w:val="nil"/>
            </w:tcBorders>
            <w:noWrap w:val="0"/>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≤0.10%</w:t>
            </w:r>
          </w:p>
        </w:tc>
        <w:tc>
          <w:tcPr>
            <w:tcW w:w="650" w:type="pct"/>
            <w:tcBorders>
              <w:tl2br w:val="nil"/>
              <w:tr2bl w:val="nil"/>
            </w:tcBorders>
            <w:noWrap/>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≤0.07%</w:t>
            </w:r>
          </w:p>
        </w:tc>
        <w:tc>
          <w:tcPr>
            <w:tcW w:w="719" w:type="pct"/>
            <w:tcBorders>
              <w:tl2br w:val="nil"/>
              <w:tr2bl w:val="nil"/>
            </w:tcBorders>
            <w:noWrap/>
            <w:tcMar>
              <w:left w:w="105" w:type="dxa"/>
              <w:right w:w="105" w:type="dxa"/>
            </w:tcMar>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≤0.08%</w:t>
            </w:r>
          </w:p>
        </w:tc>
        <w:tc>
          <w:tcPr>
            <w:tcW w:w="640" w:type="pct"/>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提升</w:t>
            </w:r>
          </w:p>
        </w:tc>
        <w:tc>
          <w:tcPr>
            <w:tcW w:w="1212" w:type="pct"/>
            <w:tcBorders>
              <w:tl2br w:val="nil"/>
              <w:tr2bl w:val="nil"/>
            </w:tcBorders>
            <w:noWrap/>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该指标国内外最优</w:t>
            </w:r>
          </w:p>
        </w:tc>
      </w:tr>
    </w:tbl>
    <w:p>
      <w:pPr>
        <w:spacing w:line="360" w:lineRule="auto"/>
        <w:ind w:firstLine="482" w:firstLineChars="200"/>
        <w:outlineLvl w:val="2"/>
        <w:rPr>
          <w:rFonts w:ascii="宋体" w:hAnsi="宋体" w:eastAsia="宋体" w:cs="楷体"/>
          <w:b/>
          <w:color w:val="000000"/>
          <w:sz w:val="24"/>
          <w:szCs w:val="32"/>
        </w:rPr>
      </w:pPr>
      <w:r>
        <w:rPr>
          <w:rFonts w:hint="eastAsia" w:ascii="宋体" w:hAnsi="宋体" w:eastAsia="宋体" w:cs="楷体"/>
          <w:b/>
          <w:color w:val="000000"/>
          <w:sz w:val="24"/>
          <w:szCs w:val="32"/>
        </w:rPr>
        <w:t>（二）产品售后责任</w:t>
      </w:r>
      <w:bookmarkEnd w:id="2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在售后服务方面，加强顾客反馈和异议处理管理，并制定管理流程，明确</w:t>
      </w:r>
      <w:r>
        <w:rPr>
          <w:rFonts w:hint="eastAsia" w:ascii="宋体" w:hAnsi="宋体" w:eastAsia="宋体" w:cs="微软雅黑"/>
          <w:color w:val="000000"/>
          <w:spacing w:val="-4"/>
          <w:sz w:val="24"/>
          <w:szCs w:val="28"/>
          <w:lang w:eastAsia="zh-CN"/>
        </w:rPr>
        <w:t>销售科</w:t>
      </w:r>
      <w:r>
        <w:rPr>
          <w:rFonts w:hint="eastAsia" w:ascii="宋体" w:hAnsi="宋体" w:eastAsia="宋体" w:cs="微软雅黑"/>
          <w:color w:val="000000"/>
          <w:spacing w:val="-4"/>
          <w:sz w:val="24"/>
          <w:szCs w:val="28"/>
        </w:rPr>
        <w:t>的职责，保证顾客投诉得到及时有效处理。同时，为确保客户投诉的信息有效利用，公司每月对生产质量投诉进行汇总；对存在相似的生产质量投诉问题进行专题分析，制定整改措施，并通过质量体系进行审核，实施有效改进。</w:t>
      </w:r>
    </w:p>
    <w:p>
      <w:pPr>
        <w:spacing w:line="360" w:lineRule="auto"/>
        <w:ind w:firstLine="482" w:firstLineChars="200"/>
        <w:outlineLvl w:val="2"/>
        <w:rPr>
          <w:rFonts w:ascii="宋体" w:hAnsi="宋体" w:eastAsia="宋体" w:cs="楷体"/>
          <w:b/>
          <w:color w:val="000000"/>
          <w:sz w:val="24"/>
          <w:szCs w:val="32"/>
        </w:rPr>
      </w:pPr>
      <w:bookmarkStart w:id="29" w:name="_Toc48809483"/>
      <w:r>
        <w:rPr>
          <w:rFonts w:hint="eastAsia" w:ascii="宋体" w:hAnsi="宋体" w:eastAsia="宋体" w:cs="楷体"/>
          <w:b/>
          <w:color w:val="000000"/>
          <w:sz w:val="24"/>
          <w:szCs w:val="32"/>
        </w:rPr>
        <w:t>（三）企业社会责任</w:t>
      </w:r>
      <w:bookmarkEnd w:id="29"/>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（1）企业公共责任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公司建立了ISO 14001环境管理体系、ISO</w:t>
      </w:r>
      <w:r>
        <w:rPr>
          <w:rFonts w:hint="eastAsia" w:ascii="宋体" w:hAnsi="宋体" w:eastAsia="宋体" w:cs="微软雅黑"/>
          <w:color w:val="000000"/>
          <w:spacing w:val="-4"/>
          <w:sz w:val="24"/>
          <w:szCs w:val="28"/>
          <w:lang w:val="en-US" w:eastAsia="zh-CN"/>
        </w:rPr>
        <w:t xml:space="preserve"> </w:t>
      </w:r>
      <w:r>
        <w:rPr>
          <w:rFonts w:hint="eastAsia" w:ascii="宋体" w:hAnsi="宋体" w:eastAsia="宋体" w:cs="微软雅黑"/>
          <w:color w:val="000000"/>
          <w:spacing w:val="-4"/>
          <w:sz w:val="24"/>
          <w:szCs w:val="28"/>
        </w:rPr>
        <w:t>45001职业健康安全管理，并导入了卓越绩效管理模式，公司每年系统地识别和评估产品、服务和运营对质量安全、环境保护、能源节约和资源综合利用以及公共卫生等方面的影响，并制定预防、控制和改进措施。</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一直以来公司注重“产品质量、环境保护、能源资源利用、安全生产”等工作的推进，通过严格生产过程、环境保护和危险源识别等各环节的管控，有效促进了公司产品质量的提高、生产安全的保障、节能降耗的实现和行业竞争力的提升。</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环境保护、节能降耗、安全生产、职业健康等方面的控制/改进措施见表4。</w:t>
      </w:r>
    </w:p>
    <w:p>
      <w:pPr>
        <w:adjustRightInd w:val="0"/>
        <w:snapToGrid w:val="0"/>
        <w:jc w:val="center"/>
        <w:rPr>
          <w:rFonts w:hint="eastAsia" w:ascii="宋体" w:hAnsi="宋体" w:eastAsia="宋体" w:cs="宋体"/>
          <w:b/>
          <w:sz w:val="24"/>
          <w:szCs w:val="28"/>
          <w:lang w:eastAsia="zh-CN"/>
        </w:rPr>
      </w:pPr>
      <w:r>
        <w:rPr>
          <w:rFonts w:hint="eastAsia" w:ascii="宋体" w:hAnsi="宋体" w:eastAsia="宋体" w:cs="宋体"/>
          <w:b/>
          <w:sz w:val="24"/>
          <w:szCs w:val="28"/>
        </w:rPr>
        <w:t>表</w:t>
      </w:r>
      <w:r>
        <w:rPr>
          <w:rFonts w:hint="eastAsia" w:ascii="宋体" w:hAnsi="宋体" w:eastAsia="宋体" w:cs="宋体"/>
          <w:b/>
          <w:sz w:val="24"/>
          <w:szCs w:val="28"/>
          <w:lang w:val="en-US" w:eastAsia="zh-CN"/>
        </w:rPr>
        <w:t>5</w:t>
      </w:r>
      <w:r>
        <w:rPr>
          <w:rFonts w:hint="eastAsia" w:ascii="宋体" w:hAnsi="宋体" w:eastAsia="宋体" w:cs="宋体"/>
          <w:b/>
          <w:sz w:val="24"/>
          <w:szCs w:val="28"/>
        </w:rPr>
        <w:t xml:space="preserve"> 公共责任方面的</w:t>
      </w:r>
      <w:r>
        <w:rPr>
          <w:rFonts w:hint="eastAsia" w:ascii="宋体" w:hAnsi="宋体" w:eastAsia="宋体" w:cs="宋体"/>
          <w:b/>
          <w:sz w:val="24"/>
          <w:szCs w:val="28"/>
          <w:lang w:val="en-US" w:eastAsia="zh-CN"/>
        </w:rPr>
        <w:t>测量与</w:t>
      </w:r>
      <w:r>
        <w:rPr>
          <w:rFonts w:hint="eastAsia" w:ascii="宋体" w:hAnsi="宋体" w:eastAsia="宋体" w:cs="宋体"/>
          <w:b/>
          <w:sz w:val="24"/>
          <w:szCs w:val="28"/>
        </w:rPr>
        <w:t>控制</w:t>
      </w:r>
      <w:r>
        <w:rPr>
          <w:rFonts w:hint="eastAsia" w:ascii="宋体" w:hAnsi="宋体" w:eastAsia="宋体" w:cs="宋体"/>
          <w:b/>
          <w:sz w:val="24"/>
          <w:szCs w:val="28"/>
          <w:lang w:val="en-US" w:eastAsia="zh-CN"/>
        </w:rPr>
        <w:t>方法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133"/>
        <w:gridCol w:w="2692"/>
        <w:gridCol w:w="170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43" w:type="pct"/>
            <w:shd w:val="clear" w:color="auto" w:fill="538135"/>
            <w:noWrap w:val="0"/>
            <w:tcMar>
              <w:left w:w="28" w:type="dxa"/>
              <w:right w:w="28" w:type="dxa"/>
            </w:tcMar>
            <w:vAlign w:val="center"/>
          </w:tcPr>
          <w:p>
            <w:pPr>
              <w:adjustRightInd w:val="0"/>
              <w:snapToGrid w:val="0"/>
              <w:spacing w:line="240" w:lineRule="auto"/>
              <w:ind w:firstLine="0" w:firstLineChars="0"/>
              <w:jc w:val="center"/>
              <w:rPr>
                <w:rFonts w:hint="eastAsia" w:ascii="宋体" w:hAnsi="宋体"/>
                <w:b/>
                <w:color w:val="FFFFFF"/>
                <w:szCs w:val="21"/>
                <w:highlight w:val="none"/>
              </w:rPr>
            </w:pPr>
            <w:r>
              <w:rPr>
                <w:rFonts w:hint="eastAsia" w:ascii="宋体" w:hAnsi="宋体"/>
                <w:b/>
                <w:color w:val="FFFFFF"/>
                <w:szCs w:val="21"/>
                <w:highlight w:val="none"/>
              </w:rPr>
              <w:t>关键过程</w:t>
            </w:r>
          </w:p>
        </w:tc>
        <w:tc>
          <w:tcPr>
            <w:tcW w:w="602" w:type="pct"/>
            <w:shd w:val="clear" w:color="auto" w:fill="538135"/>
            <w:noWrap w:val="0"/>
            <w:tcMar>
              <w:left w:w="28" w:type="dxa"/>
              <w:right w:w="28" w:type="dxa"/>
            </w:tcMar>
            <w:vAlign w:val="center"/>
          </w:tcPr>
          <w:p>
            <w:pPr>
              <w:adjustRightInd w:val="0"/>
              <w:snapToGrid w:val="0"/>
              <w:spacing w:line="240" w:lineRule="auto"/>
              <w:ind w:firstLine="0" w:firstLineChars="0"/>
              <w:jc w:val="center"/>
              <w:rPr>
                <w:rFonts w:hint="eastAsia" w:ascii="宋体" w:hAnsi="宋体"/>
                <w:b/>
                <w:color w:val="FFFFFF"/>
                <w:szCs w:val="21"/>
                <w:highlight w:val="none"/>
              </w:rPr>
            </w:pPr>
            <w:r>
              <w:rPr>
                <w:rFonts w:hint="eastAsia" w:ascii="宋体" w:hAnsi="宋体"/>
                <w:b/>
                <w:color w:val="FFFFFF"/>
                <w:szCs w:val="21"/>
                <w:highlight w:val="none"/>
              </w:rPr>
              <w:t>重大环境因素/危险源</w:t>
            </w:r>
          </w:p>
        </w:tc>
        <w:tc>
          <w:tcPr>
            <w:tcW w:w="1430" w:type="pct"/>
            <w:shd w:val="clear" w:color="auto" w:fill="538135"/>
            <w:noWrap w:val="0"/>
            <w:tcMar>
              <w:left w:w="28" w:type="dxa"/>
              <w:right w:w="28" w:type="dxa"/>
            </w:tcMar>
            <w:vAlign w:val="center"/>
          </w:tcPr>
          <w:p>
            <w:pPr>
              <w:adjustRightInd w:val="0"/>
              <w:snapToGrid w:val="0"/>
              <w:spacing w:line="240" w:lineRule="auto"/>
              <w:ind w:firstLine="0" w:firstLineChars="0"/>
              <w:jc w:val="center"/>
              <w:rPr>
                <w:rFonts w:hint="eastAsia" w:ascii="宋体" w:hAnsi="宋体"/>
                <w:b/>
                <w:color w:val="FFFFFF"/>
                <w:szCs w:val="21"/>
                <w:highlight w:val="none"/>
              </w:rPr>
            </w:pPr>
            <w:r>
              <w:rPr>
                <w:rFonts w:hint="eastAsia" w:ascii="宋体" w:hAnsi="宋体"/>
                <w:b/>
                <w:color w:val="FFFFFF"/>
                <w:szCs w:val="21"/>
                <w:highlight w:val="none"/>
              </w:rPr>
              <w:t>法律法规要求</w:t>
            </w:r>
          </w:p>
        </w:tc>
        <w:tc>
          <w:tcPr>
            <w:tcW w:w="903" w:type="pct"/>
            <w:shd w:val="clear" w:color="auto" w:fill="538135"/>
            <w:noWrap w:val="0"/>
            <w:tcMar>
              <w:left w:w="28" w:type="dxa"/>
              <w:right w:w="28" w:type="dxa"/>
            </w:tcMar>
            <w:vAlign w:val="center"/>
          </w:tcPr>
          <w:p>
            <w:pPr>
              <w:adjustRightInd w:val="0"/>
              <w:snapToGrid w:val="0"/>
              <w:spacing w:line="240" w:lineRule="auto"/>
              <w:ind w:firstLine="0" w:firstLineChars="0"/>
              <w:jc w:val="center"/>
              <w:rPr>
                <w:rFonts w:hint="eastAsia" w:ascii="宋体" w:hAnsi="宋体"/>
                <w:b/>
                <w:color w:val="FFFFFF"/>
                <w:szCs w:val="21"/>
                <w:highlight w:val="none"/>
              </w:rPr>
            </w:pPr>
            <w:r>
              <w:rPr>
                <w:rFonts w:hint="eastAsia" w:ascii="宋体" w:hAnsi="宋体"/>
                <w:b/>
                <w:color w:val="FFFFFF"/>
                <w:szCs w:val="21"/>
                <w:highlight w:val="none"/>
              </w:rPr>
              <w:t>内控指标</w:t>
            </w:r>
          </w:p>
        </w:tc>
        <w:tc>
          <w:tcPr>
            <w:tcW w:w="1521" w:type="pct"/>
            <w:shd w:val="clear" w:color="auto" w:fill="538135"/>
            <w:noWrap w:val="0"/>
            <w:tcMar>
              <w:left w:w="28" w:type="dxa"/>
              <w:right w:w="28" w:type="dxa"/>
            </w:tcMar>
            <w:vAlign w:val="center"/>
          </w:tcPr>
          <w:p>
            <w:pPr>
              <w:adjustRightInd w:val="0"/>
              <w:snapToGrid w:val="0"/>
              <w:spacing w:line="240" w:lineRule="auto"/>
              <w:ind w:firstLine="0" w:firstLineChars="0"/>
              <w:jc w:val="center"/>
              <w:rPr>
                <w:rFonts w:hint="eastAsia" w:ascii="宋体" w:hAnsi="宋体"/>
                <w:b/>
                <w:color w:val="FFFFFF"/>
                <w:szCs w:val="21"/>
                <w:highlight w:val="none"/>
              </w:rPr>
            </w:pPr>
            <w:r>
              <w:rPr>
                <w:rFonts w:hint="eastAsia" w:ascii="宋体" w:hAnsi="宋体"/>
                <w:b/>
                <w:color w:val="FFFFFF"/>
                <w:szCs w:val="21"/>
                <w:highlight w:val="none"/>
              </w:rPr>
              <w:t>测量方法与控制措施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restar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环境</w:t>
            </w:r>
          </w:p>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保护</w:t>
            </w: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废水</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《污水综合排放标准》</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达标排放</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委托环境保护监测站进行监测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废气</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vertAlign w:val="superscript"/>
              </w:rPr>
            </w:pPr>
            <w:r>
              <w:rPr>
                <w:rFonts w:hint="eastAsia" w:ascii="宋体" w:hAnsi="宋体"/>
                <w:szCs w:val="21"/>
                <w:highlight w:val="none"/>
              </w:rPr>
              <w:t>《大气污染物综合排放标准》</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达标排放</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委托环境保护监测站进行监测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厂界噪声</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3 类≤65dB</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同左</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委托环境保护监测站进行监测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固废</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制定危险废物管理计划，制定意外事故的防范措施和应急预案；不得擅自倾倒、堆放；禁止混入非危险废物中</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严格执行法律法规要求</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color w:val="FF0000"/>
                <w:szCs w:val="21"/>
                <w:highlight w:val="none"/>
              </w:rPr>
            </w:pPr>
            <w:r>
              <w:rPr>
                <w:rFonts w:hint="eastAsia" w:ascii="宋体" w:hAnsi="宋体"/>
                <w:szCs w:val="21"/>
                <w:highlight w:val="none"/>
              </w:rPr>
              <w:t>委托具有资质的固废处理中心进行处理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restar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节能</w:t>
            </w:r>
          </w:p>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降耗</w:t>
            </w:r>
          </w:p>
        </w:tc>
        <w:tc>
          <w:tcPr>
            <w:tcW w:w="602" w:type="pct"/>
            <w:vMerge w:val="restar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能耗</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能耗总量</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符合公司和政府规定的要求</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通过电表、水表和煤耗记录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602"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万元产值能耗</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较上年度下降5%</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安全</w:t>
            </w:r>
          </w:p>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生产</w:t>
            </w: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工伤和火灾事故</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积极预防工伤和火灾事故；保障安全生产的投入；对员工进行安全知识教育培训</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color w:val="FF0000"/>
                <w:szCs w:val="21"/>
                <w:highlight w:val="none"/>
              </w:rPr>
            </w:pPr>
            <w:r>
              <w:rPr>
                <w:rFonts w:ascii="宋体" w:hAnsi="宋体"/>
                <w:color w:val="auto"/>
                <w:szCs w:val="21"/>
                <w:highlight w:val="none"/>
              </w:rPr>
              <w:t>无死亡事故；</w:t>
            </w:r>
            <w:r>
              <w:rPr>
                <w:rFonts w:hint="eastAsia" w:ascii="宋体" w:hAnsi="宋体"/>
                <w:color w:val="auto"/>
                <w:szCs w:val="21"/>
                <w:highlight w:val="none"/>
              </w:rPr>
              <w:t>工伤</w:t>
            </w:r>
            <w:r>
              <w:rPr>
                <w:rFonts w:ascii="宋体" w:hAnsi="宋体"/>
                <w:color w:val="auto"/>
                <w:szCs w:val="21"/>
                <w:highlight w:val="none"/>
              </w:rPr>
              <w:t>事故发生率控制全年平均人数的</w:t>
            </w:r>
            <w:r>
              <w:rPr>
                <w:rFonts w:hint="eastAsia" w:ascii="宋体" w:hAnsi="宋体"/>
                <w:color w:val="auto"/>
                <w:szCs w:val="21"/>
                <w:highlight w:val="none"/>
              </w:rPr>
              <w:t>0.5%以内</w:t>
            </w:r>
            <w:r>
              <w:rPr>
                <w:rFonts w:ascii="宋体" w:hAnsi="宋体"/>
                <w:color w:val="auto"/>
                <w:szCs w:val="21"/>
                <w:highlight w:val="none"/>
              </w:rPr>
              <w:t>；</w:t>
            </w:r>
          </w:p>
        </w:tc>
        <w:tc>
          <w:tcPr>
            <w:tcW w:w="1521"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安全事故发生进行统计记录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restar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职业健康</w:t>
            </w: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噪音</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≤85dB(A)</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kern w:val="2"/>
                <w:sz w:val="21"/>
                <w:szCs w:val="21"/>
                <w:highlight w:val="none"/>
                <w:lang w:val="en-US" w:eastAsia="zh-CN" w:bidi="ar-SA"/>
              </w:rPr>
            </w:pPr>
            <w:r>
              <w:rPr>
                <w:rFonts w:hint="eastAsia" w:ascii="宋体" w:hAnsi="宋体"/>
                <w:szCs w:val="21"/>
                <w:highlight w:val="none"/>
              </w:rPr>
              <w:t>同左</w:t>
            </w:r>
          </w:p>
        </w:tc>
        <w:tc>
          <w:tcPr>
            <w:tcW w:w="1521" w:type="pct"/>
            <w:vMerge w:val="restart"/>
            <w:noWrap w:val="0"/>
            <w:tcMar>
              <w:left w:w="28" w:type="dxa"/>
              <w:right w:w="28" w:type="dxa"/>
            </w:tcMar>
            <w:vAlign w:val="center"/>
          </w:tcPr>
          <w:p>
            <w:pPr>
              <w:adjustRightInd w:val="0"/>
              <w:snapToGrid w:val="0"/>
              <w:spacing w:line="240" w:lineRule="auto"/>
              <w:ind w:firstLine="0" w:firstLineChars="0"/>
              <w:jc w:val="center"/>
              <w:rPr>
                <w:rFonts w:ascii="宋体" w:hAnsi="宋体"/>
                <w:szCs w:val="21"/>
                <w:highlight w:val="none"/>
              </w:rPr>
            </w:pPr>
            <w:r>
              <w:rPr>
                <w:rFonts w:hint="eastAsia" w:ascii="宋体" w:hAnsi="宋体"/>
                <w:szCs w:val="21"/>
                <w:highlight w:val="none"/>
              </w:rPr>
              <w:t>发放劳保用品，加强个人防护；</w:t>
            </w:r>
          </w:p>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委托第三方进行监测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c>
          <w:tcPr>
            <w:tcW w:w="602"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有害物质</w:t>
            </w:r>
          </w:p>
        </w:tc>
        <w:tc>
          <w:tcPr>
            <w:tcW w:w="1430"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r>
              <w:rPr>
                <w:rFonts w:hint="eastAsia" w:ascii="宋体" w:hAnsi="宋体"/>
                <w:szCs w:val="21"/>
                <w:highlight w:val="none"/>
              </w:rPr>
              <w:t>苯：≤6mg/m</w:t>
            </w:r>
            <w:r>
              <w:rPr>
                <w:rFonts w:hint="eastAsia" w:ascii="宋体" w:hAnsi="宋体"/>
                <w:szCs w:val="21"/>
                <w:highlight w:val="none"/>
                <w:vertAlign w:val="superscript"/>
              </w:rPr>
              <w:t>3</w:t>
            </w:r>
          </w:p>
        </w:tc>
        <w:tc>
          <w:tcPr>
            <w:tcW w:w="903" w:type="pct"/>
            <w:noWrap w:val="0"/>
            <w:tcMar>
              <w:left w:w="28" w:type="dxa"/>
              <w:right w:w="28" w:type="dxa"/>
            </w:tcMar>
            <w:vAlign w:val="center"/>
          </w:tcPr>
          <w:p>
            <w:pPr>
              <w:adjustRightInd w:val="0"/>
              <w:snapToGrid w:val="0"/>
              <w:spacing w:line="240" w:lineRule="auto"/>
              <w:ind w:firstLine="0" w:firstLineChars="0"/>
              <w:jc w:val="center"/>
              <w:rPr>
                <w:rFonts w:hint="eastAsia" w:ascii="宋体" w:hAnsi="宋体"/>
                <w:color w:val="FF0000"/>
                <w:szCs w:val="21"/>
                <w:highlight w:val="none"/>
              </w:rPr>
            </w:pPr>
            <w:r>
              <w:rPr>
                <w:rFonts w:hint="eastAsia" w:ascii="宋体" w:hAnsi="宋体"/>
                <w:szCs w:val="21"/>
                <w:highlight w:val="none"/>
              </w:rPr>
              <w:t>同左</w:t>
            </w:r>
          </w:p>
        </w:tc>
        <w:tc>
          <w:tcPr>
            <w:tcW w:w="1521" w:type="pct"/>
            <w:vMerge w:val="continue"/>
            <w:noWrap w:val="0"/>
            <w:tcMar>
              <w:left w:w="28" w:type="dxa"/>
              <w:right w:w="28" w:type="dxa"/>
            </w:tcMar>
            <w:vAlign w:val="center"/>
          </w:tcPr>
          <w:p>
            <w:pPr>
              <w:adjustRightInd w:val="0"/>
              <w:snapToGrid w:val="0"/>
              <w:spacing w:line="240" w:lineRule="auto"/>
              <w:ind w:firstLine="0" w:firstLineChars="0"/>
              <w:jc w:val="center"/>
              <w:rPr>
                <w:rFonts w:hint="eastAsia" w:ascii="宋体" w:hAnsi="宋体"/>
                <w:szCs w:val="21"/>
                <w:highlight w:val="none"/>
              </w:rPr>
            </w:pPr>
          </w:p>
        </w:tc>
      </w:tr>
    </w:tbl>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政府、民众和相关方对产品安全、环境保护、安全生产的关注度日益提高，为消除外界对公司这方面的隐忧，公司积极做好应对准备。通过上述关注度的分析，公司确定了环境保护和安全生产隐患预案。</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（2）企业道德责任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确保所有开展的各项生产经营业务符合诚信准则、道德规范，建立起较为完善的道德约束指标，确立用于监测组织内部、与主要合作伙伴之间，以及组织的治理中行为道德的主要过程及测量方法和指标，制定和履行公司合同管理、廉洁自律等方面严格的诚信、道德规范。</w:t>
      </w:r>
    </w:p>
    <w:p>
      <w:pPr>
        <w:adjustRightInd w:val="0"/>
        <w:snapToGrid w:val="0"/>
        <w:jc w:val="center"/>
        <w:rPr>
          <w:rFonts w:ascii="宋体" w:hAnsi="宋体" w:eastAsia="宋体" w:cs="宋体"/>
          <w:b/>
          <w:sz w:val="24"/>
          <w:szCs w:val="28"/>
        </w:rPr>
      </w:pPr>
      <w:r>
        <w:rPr>
          <w:rFonts w:hint="eastAsia" w:ascii="宋体" w:hAnsi="宋体" w:eastAsia="宋体" w:cs="宋体"/>
          <w:b/>
          <w:sz w:val="24"/>
          <w:szCs w:val="28"/>
        </w:rPr>
        <w:t>表</w:t>
      </w:r>
      <w:r>
        <w:rPr>
          <w:rFonts w:hint="eastAsia" w:ascii="宋体" w:hAnsi="宋体" w:eastAsia="宋体" w:cs="宋体"/>
          <w:b/>
          <w:sz w:val="24"/>
          <w:szCs w:val="28"/>
          <w:lang w:val="en-US" w:eastAsia="zh-CN"/>
        </w:rPr>
        <w:t xml:space="preserve">6 </w:t>
      </w:r>
      <w:r>
        <w:rPr>
          <w:rFonts w:ascii="宋体" w:hAnsi="宋体" w:eastAsia="宋体" w:cs="宋体"/>
          <w:b/>
          <w:sz w:val="24"/>
          <w:szCs w:val="28"/>
        </w:rPr>
        <w:t>公司</w:t>
      </w:r>
      <w:r>
        <w:rPr>
          <w:rFonts w:hint="eastAsia" w:ascii="宋体" w:hAnsi="宋体" w:eastAsia="宋体" w:cs="宋体"/>
          <w:b/>
          <w:sz w:val="24"/>
          <w:szCs w:val="28"/>
        </w:rPr>
        <w:t>道德行为控制</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93"/>
        <w:gridCol w:w="1474"/>
        <w:gridCol w:w="2027"/>
        <w:gridCol w:w="2270"/>
        <w:gridCol w:w="24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28" w:type="pct"/>
            <w:shd w:val="clear" w:color="auto" w:fill="538135"/>
            <w:vAlign w:val="center"/>
          </w:tcPr>
          <w:p>
            <w:pPr>
              <w:spacing w:line="0" w:lineRule="atLeast"/>
              <w:jc w:val="center"/>
              <w:rPr>
                <w:rFonts w:ascii="宋体" w:hAnsi="宋体" w:eastAsia="宋体"/>
                <w:b/>
                <w:color w:val="FFFFFF"/>
                <w:szCs w:val="18"/>
              </w:rPr>
            </w:pPr>
            <w:bookmarkStart w:id="30" w:name="_Hlk46143611"/>
            <w:r>
              <w:rPr>
                <w:rFonts w:hint="eastAsia" w:ascii="宋体" w:hAnsi="宋体" w:eastAsia="宋体"/>
                <w:b/>
                <w:color w:val="FFFFFF"/>
                <w:szCs w:val="18"/>
              </w:rPr>
              <w:t>监督对象</w:t>
            </w:r>
          </w:p>
        </w:tc>
        <w:tc>
          <w:tcPr>
            <w:tcW w:w="770" w:type="pct"/>
            <w:shd w:val="clear" w:color="auto" w:fill="538135"/>
            <w:vAlign w:val="center"/>
          </w:tcPr>
          <w:p>
            <w:pPr>
              <w:spacing w:line="0" w:lineRule="atLeast"/>
              <w:jc w:val="center"/>
              <w:rPr>
                <w:rFonts w:ascii="宋体" w:hAnsi="宋体" w:eastAsia="宋体"/>
                <w:b/>
                <w:color w:val="FFFFFF"/>
                <w:szCs w:val="18"/>
              </w:rPr>
            </w:pPr>
            <w:r>
              <w:rPr>
                <w:rFonts w:hint="eastAsia" w:ascii="宋体" w:hAnsi="宋体" w:eastAsia="宋体"/>
                <w:b/>
                <w:color w:val="FFFFFF"/>
                <w:szCs w:val="18"/>
              </w:rPr>
              <w:t>监测过程</w:t>
            </w:r>
          </w:p>
        </w:tc>
        <w:tc>
          <w:tcPr>
            <w:tcW w:w="1059" w:type="pct"/>
            <w:shd w:val="clear" w:color="auto" w:fill="538135"/>
            <w:vAlign w:val="center"/>
          </w:tcPr>
          <w:p>
            <w:pPr>
              <w:spacing w:line="0" w:lineRule="atLeast"/>
              <w:jc w:val="center"/>
              <w:rPr>
                <w:rFonts w:ascii="宋体" w:hAnsi="宋体" w:eastAsia="宋体"/>
                <w:b/>
                <w:color w:val="FFFFFF"/>
                <w:szCs w:val="18"/>
              </w:rPr>
            </w:pPr>
            <w:r>
              <w:rPr>
                <w:rFonts w:hint="eastAsia" w:ascii="宋体" w:hAnsi="宋体" w:eastAsia="宋体"/>
                <w:b/>
                <w:color w:val="FFFFFF"/>
                <w:szCs w:val="18"/>
              </w:rPr>
              <w:t>监督部门</w:t>
            </w:r>
          </w:p>
        </w:tc>
        <w:tc>
          <w:tcPr>
            <w:tcW w:w="1186" w:type="pct"/>
            <w:shd w:val="clear" w:color="auto" w:fill="538135"/>
            <w:vAlign w:val="center"/>
          </w:tcPr>
          <w:p>
            <w:pPr>
              <w:spacing w:line="0" w:lineRule="atLeast"/>
              <w:jc w:val="center"/>
              <w:rPr>
                <w:rFonts w:ascii="宋体" w:hAnsi="宋体" w:eastAsia="宋体"/>
                <w:b/>
                <w:color w:val="FFFFFF"/>
                <w:szCs w:val="18"/>
              </w:rPr>
            </w:pPr>
            <w:r>
              <w:rPr>
                <w:rFonts w:hint="eastAsia" w:ascii="宋体" w:hAnsi="宋体" w:eastAsia="宋体"/>
                <w:b/>
                <w:color w:val="FFFFFF"/>
                <w:szCs w:val="18"/>
              </w:rPr>
              <w:t>测量方法</w:t>
            </w:r>
          </w:p>
        </w:tc>
        <w:tc>
          <w:tcPr>
            <w:tcW w:w="1257" w:type="pct"/>
            <w:shd w:val="clear" w:color="auto" w:fill="538135"/>
            <w:vAlign w:val="center"/>
          </w:tcPr>
          <w:p>
            <w:pPr>
              <w:spacing w:line="0" w:lineRule="atLeast"/>
              <w:jc w:val="center"/>
              <w:rPr>
                <w:rFonts w:ascii="宋体" w:hAnsi="宋体" w:eastAsia="宋体"/>
                <w:b/>
                <w:color w:val="FFFFFF"/>
                <w:szCs w:val="18"/>
              </w:rPr>
            </w:pPr>
            <w:r>
              <w:rPr>
                <w:rFonts w:hint="eastAsia" w:ascii="宋体" w:hAnsi="宋体" w:eastAsia="宋体"/>
                <w:b/>
                <w:color w:val="FFFFFF"/>
                <w:szCs w:val="18"/>
              </w:rPr>
              <w:t>测量指标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Align w:val="center"/>
          </w:tcPr>
          <w:p>
            <w:pPr>
              <w:spacing w:line="0" w:lineRule="atLeast"/>
              <w:jc w:val="center"/>
              <w:rPr>
                <w:rFonts w:ascii="宋体" w:hAnsi="宋体" w:eastAsia="宋体"/>
                <w:b/>
                <w:szCs w:val="21"/>
              </w:rPr>
            </w:pPr>
            <w:r>
              <w:rPr>
                <w:rFonts w:hint="eastAsia" w:ascii="宋体" w:hAnsi="宋体" w:eastAsia="宋体"/>
                <w:b/>
                <w:szCs w:val="21"/>
              </w:rPr>
              <w:t>公司高层领导</w:t>
            </w:r>
          </w:p>
        </w:tc>
        <w:tc>
          <w:tcPr>
            <w:tcW w:w="770" w:type="pct"/>
            <w:vAlign w:val="center"/>
          </w:tcPr>
          <w:p>
            <w:pPr>
              <w:spacing w:line="0" w:lineRule="atLeast"/>
              <w:jc w:val="left"/>
              <w:rPr>
                <w:rFonts w:ascii="宋体" w:hAnsi="宋体" w:eastAsia="宋体"/>
                <w:szCs w:val="21"/>
              </w:rPr>
            </w:pPr>
            <w:r>
              <w:rPr>
                <w:rFonts w:hint="eastAsia" w:ascii="宋体" w:hAnsi="宋体" w:eastAsia="宋体"/>
                <w:szCs w:val="21"/>
              </w:rPr>
              <w:t>公司治理结构，德、能、勤、绩</w:t>
            </w: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工会、员工</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会议、绩效考核、民主调查、投诉举报</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违纪违规事件为0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restart"/>
            <w:vAlign w:val="center"/>
          </w:tcPr>
          <w:p>
            <w:pPr>
              <w:spacing w:line="0" w:lineRule="atLeast"/>
              <w:jc w:val="center"/>
              <w:rPr>
                <w:rFonts w:ascii="宋体" w:hAnsi="宋体" w:eastAsia="宋体"/>
                <w:b/>
                <w:szCs w:val="21"/>
              </w:rPr>
            </w:pPr>
            <w:r>
              <w:rPr>
                <w:rFonts w:hint="eastAsia" w:ascii="宋体" w:hAnsi="宋体" w:eastAsia="宋体"/>
                <w:b/>
                <w:szCs w:val="21"/>
              </w:rPr>
              <w:t>公司中层干部及职能部门</w:t>
            </w:r>
          </w:p>
        </w:tc>
        <w:tc>
          <w:tcPr>
            <w:tcW w:w="770" w:type="pct"/>
            <w:vMerge w:val="restart"/>
            <w:vAlign w:val="center"/>
          </w:tcPr>
          <w:p>
            <w:pPr>
              <w:spacing w:line="0" w:lineRule="atLeast"/>
              <w:jc w:val="left"/>
              <w:rPr>
                <w:rFonts w:ascii="宋体" w:hAnsi="宋体" w:eastAsia="宋体"/>
                <w:szCs w:val="21"/>
              </w:rPr>
            </w:pPr>
            <w:r>
              <w:rPr>
                <w:rFonts w:hint="eastAsia" w:ascii="宋体" w:hAnsi="宋体" w:eastAsia="宋体"/>
                <w:szCs w:val="21"/>
              </w:rPr>
              <w:t>管理行为的公正性</w:t>
            </w: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公司高层</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绩效考核</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违纪违规事件为0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公司的合作伙伴</w:t>
            </w:r>
          </w:p>
        </w:tc>
        <w:tc>
          <w:tcPr>
            <w:tcW w:w="1186"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满意度测评</w:t>
            </w:r>
          </w:p>
        </w:tc>
        <w:tc>
          <w:tcPr>
            <w:tcW w:w="1257"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顾客满意度90分以上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公司工会</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监督、通报</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劳动权益履行率100%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公司员工</w:t>
            </w:r>
          </w:p>
        </w:tc>
        <w:tc>
          <w:tcPr>
            <w:tcW w:w="1186"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满意度测评</w:t>
            </w:r>
          </w:p>
        </w:tc>
        <w:tc>
          <w:tcPr>
            <w:tcW w:w="1257"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员工满意度</w:t>
            </w:r>
            <w:r>
              <w:rPr>
                <w:rFonts w:ascii="宋体" w:hAnsi="宋体" w:eastAsia="宋体"/>
                <w:szCs w:val="21"/>
              </w:rPr>
              <w:t>90</w:t>
            </w:r>
            <w:r>
              <w:rPr>
                <w:rFonts w:hint="eastAsia" w:ascii="宋体" w:hAnsi="宋体" w:eastAsia="宋体"/>
                <w:szCs w:val="21"/>
              </w:rPr>
              <w:t>分以上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restart"/>
            <w:vAlign w:val="center"/>
          </w:tcPr>
          <w:p>
            <w:pPr>
              <w:spacing w:line="0" w:lineRule="atLeast"/>
              <w:jc w:val="left"/>
              <w:rPr>
                <w:rFonts w:ascii="宋体" w:hAnsi="宋体" w:eastAsia="宋体"/>
                <w:szCs w:val="21"/>
              </w:rPr>
            </w:pPr>
            <w:r>
              <w:rPr>
                <w:rFonts w:hint="eastAsia" w:ascii="宋体" w:hAnsi="宋体" w:eastAsia="宋体"/>
                <w:szCs w:val="21"/>
              </w:rPr>
              <w:t>生产经营活动的规范性</w:t>
            </w: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税务部门</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税务检查及评价</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依法纳税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银行</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银行信用评价</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按时还贷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有关主管部门</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财务检查</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财务报表100%客观真实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rPr>
            </w:pPr>
            <w:r>
              <w:rPr>
                <w:rFonts w:hint="eastAsia" w:ascii="宋体" w:hAnsi="宋体" w:eastAsia="宋体"/>
                <w:szCs w:val="21"/>
              </w:rPr>
              <w:t>媒体、监察部门</w:t>
            </w:r>
          </w:p>
        </w:tc>
        <w:tc>
          <w:tcPr>
            <w:tcW w:w="1186" w:type="pct"/>
            <w:vAlign w:val="center"/>
          </w:tcPr>
          <w:p>
            <w:pPr>
              <w:spacing w:line="0" w:lineRule="atLeast"/>
              <w:jc w:val="left"/>
              <w:rPr>
                <w:rFonts w:ascii="宋体" w:hAnsi="宋体" w:eastAsia="宋体"/>
                <w:szCs w:val="21"/>
              </w:rPr>
            </w:pPr>
            <w:r>
              <w:rPr>
                <w:rFonts w:hint="eastAsia" w:ascii="宋体" w:hAnsi="宋体" w:eastAsia="宋体"/>
                <w:szCs w:val="21"/>
              </w:rPr>
              <w:t>媒体曝光、违纪处理</w:t>
            </w:r>
          </w:p>
        </w:tc>
        <w:tc>
          <w:tcPr>
            <w:tcW w:w="1257" w:type="pct"/>
            <w:vAlign w:val="center"/>
          </w:tcPr>
          <w:p>
            <w:pPr>
              <w:spacing w:line="0" w:lineRule="atLeast"/>
              <w:jc w:val="left"/>
              <w:rPr>
                <w:rFonts w:ascii="宋体" w:hAnsi="宋体" w:eastAsia="宋体"/>
                <w:szCs w:val="21"/>
              </w:rPr>
            </w:pPr>
            <w:r>
              <w:rPr>
                <w:rFonts w:hint="eastAsia" w:ascii="宋体" w:hAnsi="宋体" w:eastAsia="宋体"/>
                <w:szCs w:val="21"/>
              </w:rPr>
              <w:t>杜绝不文明行为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vMerge w:val="continue"/>
            <w:vAlign w:val="center"/>
          </w:tcPr>
          <w:p>
            <w:pPr>
              <w:widowControl/>
              <w:spacing w:line="0" w:lineRule="atLeast"/>
              <w:jc w:val="left"/>
              <w:rPr>
                <w:rFonts w:ascii="宋体" w:hAnsi="宋体" w:eastAsia="宋体"/>
                <w:b/>
                <w:szCs w:val="21"/>
              </w:rPr>
            </w:pPr>
          </w:p>
        </w:tc>
        <w:tc>
          <w:tcPr>
            <w:tcW w:w="770" w:type="pct"/>
            <w:vMerge w:val="continue"/>
            <w:vAlign w:val="center"/>
          </w:tcPr>
          <w:p>
            <w:pPr>
              <w:widowControl/>
              <w:spacing w:line="0" w:lineRule="atLeast"/>
              <w:jc w:val="left"/>
              <w:rPr>
                <w:rFonts w:ascii="宋体" w:hAnsi="宋体" w:eastAsia="宋体"/>
                <w:szCs w:val="21"/>
              </w:rPr>
            </w:pPr>
          </w:p>
        </w:tc>
        <w:tc>
          <w:tcPr>
            <w:tcW w:w="1059"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合作伙伴</w:t>
            </w:r>
          </w:p>
        </w:tc>
        <w:tc>
          <w:tcPr>
            <w:tcW w:w="1186"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合同履行情况检查</w:t>
            </w:r>
          </w:p>
        </w:tc>
        <w:tc>
          <w:tcPr>
            <w:tcW w:w="1257" w:type="pct"/>
            <w:vAlign w:val="center"/>
          </w:tcPr>
          <w:p>
            <w:pPr>
              <w:spacing w:line="0" w:lineRule="atLeast"/>
              <w:jc w:val="left"/>
              <w:rPr>
                <w:rFonts w:ascii="宋体" w:hAnsi="宋体" w:eastAsia="宋体"/>
                <w:szCs w:val="21"/>
                <w:highlight w:val="yellow"/>
              </w:rPr>
            </w:pPr>
            <w:r>
              <w:rPr>
                <w:rFonts w:hint="eastAsia" w:ascii="宋体" w:hAnsi="宋体" w:eastAsia="宋体"/>
                <w:szCs w:val="21"/>
              </w:rPr>
              <w:t>合同兑现率100%</w:t>
            </w:r>
          </w:p>
        </w:tc>
      </w:tr>
      <w:bookmarkEnd w:id="30"/>
    </w:tbl>
    <w:p>
      <w:pPr>
        <w:spacing w:line="360" w:lineRule="auto"/>
        <w:ind w:firstLine="482" w:firstLineChars="200"/>
        <w:rPr>
          <w:rFonts w:ascii="宋体" w:hAnsi="宋体" w:eastAsia="宋体" w:cs="Times New Roman"/>
          <w:b/>
          <w:sz w:val="24"/>
          <w:szCs w:val="28"/>
        </w:rPr>
      </w:pPr>
      <w:r>
        <w:rPr>
          <w:rFonts w:hint="eastAsia" w:ascii="宋体" w:hAnsi="宋体" w:eastAsia="宋体" w:cs="黑体"/>
          <w:b/>
          <w:sz w:val="24"/>
          <w:szCs w:val="28"/>
        </w:rPr>
        <w:t>（3）产品质量保证承诺</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企业产品质量符合宣传广告、使用说明书、产品标签内容标识，无虚假宣传；产品生产、检验、出厂均符合国家标准要求，产品品质高；若消费者在使用我公司产品时，发现有产品质量问题或疑问，均可拨打服务热线，公司承诺对顾客任何问题均会进行及时有效解答处理。</w:t>
      </w:r>
    </w:p>
    <w:p>
      <w:pPr>
        <w:spacing w:line="360" w:lineRule="auto"/>
        <w:ind w:firstLine="466" w:firstLineChars="200"/>
        <w:jc w:val="left"/>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lang w:eastAsia="zh-CN"/>
        </w:rPr>
        <w:t>解氏新材料</w:t>
      </w:r>
      <w:r>
        <w:rPr>
          <w:rFonts w:hint="eastAsia" w:ascii="宋体" w:hAnsi="宋体" w:eastAsia="宋体" w:cs="微软雅黑"/>
          <w:b/>
          <w:color w:val="000000"/>
          <w:spacing w:val="-4"/>
          <w:sz w:val="24"/>
          <w:szCs w:val="28"/>
        </w:rPr>
        <w:t>对“浙江制造”认证产品做出以下质量承诺：</w:t>
      </w:r>
    </w:p>
    <w:p>
      <w:pPr>
        <w:spacing w:line="360" w:lineRule="auto"/>
        <w:ind w:firstLine="480"/>
        <w:rPr>
          <w:rFonts w:hint="eastAsia" w:ascii="宋体" w:hAnsi="宋体"/>
          <w:sz w:val="24"/>
          <w:highlight w:val="none"/>
        </w:rPr>
      </w:pPr>
      <w:r>
        <w:rPr>
          <w:rFonts w:hint="eastAsia" w:ascii="宋体" w:hAnsi="宋体"/>
          <w:sz w:val="24"/>
          <w:highlight w:val="none"/>
        </w:rPr>
        <w:t>①在符合本标准规定的包装、运输、贮存条件下，产品保质期为三年。</w:t>
      </w:r>
    </w:p>
    <w:p>
      <w:pPr>
        <w:spacing w:line="360" w:lineRule="auto"/>
        <w:ind w:firstLine="480"/>
        <w:rPr>
          <w:rFonts w:ascii="宋体" w:hAnsi="宋体"/>
          <w:sz w:val="24"/>
          <w:highlight w:val="none"/>
        </w:rPr>
      </w:pPr>
      <w:r>
        <w:rPr>
          <w:rFonts w:hint="eastAsia" w:ascii="宋体" w:hAnsi="宋体"/>
          <w:sz w:val="24"/>
          <w:highlight w:val="none"/>
          <w:lang w:val="en-US" w:eastAsia="zh-CN"/>
        </w:rPr>
        <w:t>②</w:t>
      </w:r>
      <w:r>
        <w:rPr>
          <w:rFonts w:hint="eastAsia" w:ascii="宋体" w:hAnsi="宋体"/>
          <w:sz w:val="24"/>
          <w:highlight w:val="none"/>
        </w:rPr>
        <w:t>在符合本标准规定的包装、运输、贮存条件下，产品保质期内出现质量问题，可退货或换货，若因产品提出异议，应在 24 小时内响应</w:t>
      </w:r>
      <w:r>
        <w:rPr>
          <w:rFonts w:ascii="宋体" w:hAnsi="宋体"/>
          <w:sz w:val="24"/>
          <w:highlight w:val="none"/>
        </w:rPr>
        <w:t>。</w:t>
      </w:r>
    </w:p>
    <w:p>
      <w:pPr>
        <w:spacing w:before="156" w:beforeLines="50"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（4）劳动保护管理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w:t>
      </w:r>
      <w:r>
        <w:rPr>
          <w:rFonts w:ascii="宋体" w:hAnsi="宋体" w:eastAsia="宋体" w:cs="微软雅黑"/>
          <w:color w:val="000000"/>
          <w:spacing w:val="-4"/>
          <w:sz w:val="24"/>
          <w:szCs w:val="28"/>
        </w:rPr>
        <w:t>ISO 45001</w:t>
      </w:r>
      <w:r>
        <w:rPr>
          <w:rFonts w:hint="eastAsia" w:ascii="宋体" w:hAnsi="宋体" w:eastAsia="宋体" w:cs="微软雅黑"/>
          <w:color w:val="000000"/>
          <w:spacing w:val="-4"/>
          <w:sz w:val="24"/>
          <w:szCs w:val="28"/>
        </w:rPr>
        <w:t>职业健康安全管理体系，保障员工的安全健康；坚持以人为本，严格执行《中华人民共和国劳动法》、《中华人民共和国安全生产法》、《中华人民共和国职业病防治法》等劳动、安全生产法律法规，努力营造健康、安全、舒适的工作环境；委托第三方检测机构进行职业病危害因素检查，为员工配备耳塞、劳保鞋、口罩等劳动防护用品；每年组织员工进行职业病体检，建立了职业病安全健康检查台账；不断采取治理措施和个人防护措施来改进职业健康与安全工作条件，并定期测量和控制关键工作场所的影响因素，积极为员工创建安全的工作环境；此外积极通过培训让员工了解安全常识和个人健康养护常识，增强个人保护能力。</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（5）公益支持</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解氏新材料</w:t>
      </w:r>
      <w:r>
        <w:rPr>
          <w:rFonts w:hint="eastAsia" w:ascii="宋体" w:hAnsi="宋体" w:eastAsia="宋体" w:cs="微软雅黑"/>
          <w:color w:val="000000"/>
          <w:spacing w:val="-4"/>
          <w:sz w:val="24"/>
          <w:szCs w:val="28"/>
        </w:rPr>
        <w:t>参与公益活动是企业社会责任的重要体现，也是企业与社会之间建立良好关系的重要途径。作为一家企业，我们一直秉持着“回馈社会、造福人民”的理念，积极参与各种公益活动，为社会做出自己的贡献。</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企业参与的公益活动包括扶贫、教育等多个领域。在扶贫方面，我们通过捐款、捐物、帮扶等多种方式，帮助贫困地区的人民脱贫致富。在教育方面，我们关注教育公平，为贫困地区的学生提供资助和帮助，帮助他们实现自己的梦想。参与公益活动不仅是企业的社会责任，也是企业与社会之间建立良好关系的重要途径。通过参与公益活动，我们可以更好地了解社会需求，增强企业的社会形象和品牌价值，提高员工的社会责任感和团队凝聚力，同时也为企业的可持续发展打下坚实的基础。</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我们将继续秉持“</w:t>
      </w:r>
      <w:r>
        <w:rPr>
          <w:rFonts w:hint="eastAsia" w:ascii="宋体" w:hAnsi="宋体" w:eastAsia="宋体"/>
          <w:sz w:val="24"/>
          <w:szCs w:val="24"/>
          <w:lang w:eastAsia="zh-CN"/>
        </w:rPr>
        <w:t>绿色化工、开创未来</w:t>
      </w:r>
      <w:r>
        <w:rPr>
          <w:rFonts w:hint="eastAsia" w:ascii="宋体" w:hAnsi="宋体" w:eastAsia="宋体" w:cs="微软雅黑"/>
          <w:color w:val="000000"/>
          <w:spacing w:val="-4"/>
          <w:sz w:val="24"/>
          <w:szCs w:val="28"/>
        </w:rPr>
        <w:t>”的理念，积极参与各种公益活动，为社会做出自己的贡献。我们相信，只有企业与社会共同发展，才能实现共赢的局面。</w:t>
      </w:r>
    </w:p>
    <w:p>
      <w:pPr>
        <w:spacing w:before="156" w:beforeLines="50" w:line="360" w:lineRule="auto"/>
        <w:outlineLvl w:val="2"/>
        <w:rPr>
          <w:rFonts w:ascii="宋体" w:hAnsi="宋体" w:eastAsia="宋体" w:cs="楷体"/>
          <w:b/>
          <w:color w:val="000000"/>
          <w:sz w:val="28"/>
          <w:szCs w:val="32"/>
        </w:rPr>
      </w:pPr>
      <w:bookmarkStart w:id="31" w:name="_Toc48809484"/>
      <w:r>
        <w:rPr>
          <w:rFonts w:hint="eastAsia" w:ascii="宋体" w:hAnsi="宋体" w:eastAsia="宋体" w:cs="楷体"/>
          <w:b/>
          <w:color w:val="000000"/>
          <w:sz w:val="28"/>
          <w:szCs w:val="32"/>
        </w:rPr>
        <w:t>（四）质量诚信记录</w:t>
      </w:r>
      <w:bookmarkEnd w:id="31"/>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本公司产品质量稳定，暂无不良质量记录。</w:t>
      </w:r>
    </w:p>
    <w:p>
      <w:pPr>
        <w:spacing w:before="312" w:beforeLines="100" w:after="312" w:afterLines="100" w:line="360" w:lineRule="auto"/>
        <w:jc w:val="center"/>
        <w:outlineLvl w:val="0"/>
        <w:rPr>
          <w:rFonts w:ascii="黑体" w:hAnsi="黑体" w:eastAsia="黑体" w:cs="宋体"/>
          <w:color w:val="000000"/>
          <w:kern w:val="32"/>
          <w:sz w:val="32"/>
          <w:szCs w:val="32"/>
        </w:rPr>
      </w:pPr>
      <w:bookmarkStart w:id="32" w:name="_Toc11669277"/>
      <w:bookmarkStart w:id="33" w:name="_Toc48809485"/>
      <w:r>
        <w:rPr>
          <w:rFonts w:hint="eastAsia" w:ascii="黑体" w:hAnsi="黑体" w:eastAsia="黑体" w:cs="宋体"/>
          <w:color w:val="000000"/>
          <w:kern w:val="32"/>
          <w:sz w:val="32"/>
          <w:szCs w:val="32"/>
        </w:rPr>
        <w:t xml:space="preserve">第三部分 </w:t>
      </w:r>
      <w:r>
        <w:rPr>
          <w:rFonts w:hint="eastAsia" w:ascii="黑体" w:hAnsi="黑体" w:eastAsia="黑体" w:cs="楷体"/>
          <w:bCs/>
          <w:color w:val="000000"/>
          <w:kern w:val="32"/>
          <w:sz w:val="32"/>
          <w:szCs w:val="32"/>
        </w:rPr>
        <w:t>报告结语</w:t>
      </w:r>
      <w:bookmarkEnd w:id="32"/>
      <w:bookmarkEnd w:id="3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审视过去，公司全面落实生产企业的质量安全主体责任，不断完善产品结构。从影响产品质量的每一个环节入手，不断完善企业内部各项管理制度，持续改进质量管理体系的运行质量，塑造良好的企业文化，打造卓越产品。</w:t>
      </w:r>
    </w:p>
    <w:p>
      <w:pPr>
        <w:spacing w:line="360" w:lineRule="auto"/>
        <w:ind w:firstLine="464" w:firstLineChars="200"/>
        <w:jc w:val="left"/>
        <w:rPr>
          <w:rFonts w:ascii="宋体" w:hAnsi="宋体" w:eastAsia="宋体" w:cs="仿宋_GB2312"/>
          <w:color w:val="000000"/>
          <w:sz w:val="24"/>
          <w:szCs w:val="28"/>
        </w:rPr>
      </w:pPr>
      <w:r>
        <w:rPr>
          <w:rFonts w:hint="eastAsia" w:ascii="宋体" w:hAnsi="宋体" w:eastAsia="宋体" w:cs="微软雅黑"/>
          <w:color w:val="000000"/>
          <w:spacing w:val="-4"/>
          <w:sz w:val="24"/>
          <w:szCs w:val="28"/>
        </w:rPr>
        <w:t>放眼未来，我们将以卓越的产品质量占领市场，以良好的信誉留住客户，推进质量管理体系的持续改进和高效运行，全面强化全员维护品牌形象。公司坚信以质量为基，诚信为本，向质量要效益、促发展，才真正达到诚信经营、以质取胜！</w:t>
      </w:r>
    </w:p>
    <w:sectPr>
      <w:headerReference r:id="rId3" w:type="default"/>
      <w:footerReference r:id="rId4" w:type="default"/>
      <w:pgSz w:w="11906" w:h="16838"/>
      <w:pgMar w:top="1418" w:right="1134"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Calibri"/>
    <w:panose1 w:val="00000000000000000000"/>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38738"/>
    <w:multiLevelType w:val="singleLevel"/>
    <w:tmpl w:val="91C3873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hZWQ0ZGYzNjM4NjAxM2NmOTc3MTNiNmNiM2Q1MDMifQ=="/>
  </w:docVars>
  <w:rsids>
    <w:rsidRoot w:val="00172A27"/>
    <w:rsid w:val="0003170D"/>
    <w:rsid w:val="00046BDE"/>
    <w:rsid w:val="00061D99"/>
    <w:rsid w:val="0008411E"/>
    <w:rsid w:val="000A2D86"/>
    <w:rsid w:val="000D0A29"/>
    <w:rsid w:val="000D383D"/>
    <w:rsid w:val="000F167B"/>
    <w:rsid w:val="001155A3"/>
    <w:rsid w:val="00130459"/>
    <w:rsid w:val="00141F01"/>
    <w:rsid w:val="0014237A"/>
    <w:rsid w:val="00172A27"/>
    <w:rsid w:val="00173B72"/>
    <w:rsid w:val="001758D6"/>
    <w:rsid w:val="00176DA0"/>
    <w:rsid w:val="001772AE"/>
    <w:rsid w:val="00181886"/>
    <w:rsid w:val="001B0E30"/>
    <w:rsid w:val="001B451C"/>
    <w:rsid w:val="001B50A6"/>
    <w:rsid w:val="001B7ACF"/>
    <w:rsid w:val="001D7582"/>
    <w:rsid w:val="001E3AAD"/>
    <w:rsid w:val="001F5476"/>
    <w:rsid w:val="00216FA3"/>
    <w:rsid w:val="00226D6D"/>
    <w:rsid w:val="00234446"/>
    <w:rsid w:val="0024751F"/>
    <w:rsid w:val="00251D1B"/>
    <w:rsid w:val="00252497"/>
    <w:rsid w:val="00255C95"/>
    <w:rsid w:val="00277FE1"/>
    <w:rsid w:val="00280228"/>
    <w:rsid w:val="00294A9B"/>
    <w:rsid w:val="002A5449"/>
    <w:rsid w:val="002C1BD7"/>
    <w:rsid w:val="002C3275"/>
    <w:rsid w:val="002D7C08"/>
    <w:rsid w:val="002E1625"/>
    <w:rsid w:val="002F6F34"/>
    <w:rsid w:val="002F7E82"/>
    <w:rsid w:val="00315884"/>
    <w:rsid w:val="00325B1C"/>
    <w:rsid w:val="00337B75"/>
    <w:rsid w:val="00340CC4"/>
    <w:rsid w:val="0035656B"/>
    <w:rsid w:val="003661D5"/>
    <w:rsid w:val="003663D4"/>
    <w:rsid w:val="003709BB"/>
    <w:rsid w:val="00376103"/>
    <w:rsid w:val="00376A4E"/>
    <w:rsid w:val="003827EB"/>
    <w:rsid w:val="00383A91"/>
    <w:rsid w:val="00386739"/>
    <w:rsid w:val="003935F4"/>
    <w:rsid w:val="003A423A"/>
    <w:rsid w:val="003A4DDE"/>
    <w:rsid w:val="003B360A"/>
    <w:rsid w:val="003D67B3"/>
    <w:rsid w:val="003F37C4"/>
    <w:rsid w:val="0043022F"/>
    <w:rsid w:val="00447395"/>
    <w:rsid w:val="0045370A"/>
    <w:rsid w:val="00454269"/>
    <w:rsid w:val="00454E98"/>
    <w:rsid w:val="0045517D"/>
    <w:rsid w:val="00462867"/>
    <w:rsid w:val="00485FDD"/>
    <w:rsid w:val="004B6689"/>
    <w:rsid w:val="004B6DD5"/>
    <w:rsid w:val="004C69CD"/>
    <w:rsid w:val="004F4620"/>
    <w:rsid w:val="004F514F"/>
    <w:rsid w:val="004F64F8"/>
    <w:rsid w:val="00500D70"/>
    <w:rsid w:val="00501646"/>
    <w:rsid w:val="0050495C"/>
    <w:rsid w:val="0052437D"/>
    <w:rsid w:val="0053091F"/>
    <w:rsid w:val="00530B8B"/>
    <w:rsid w:val="005542DF"/>
    <w:rsid w:val="005544AD"/>
    <w:rsid w:val="00561B2E"/>
    <w:rsid w:val="00575A2D"/>
    <w:rsid w:val="00590D1B"/>
    <w:rsid w:val="00592B4D"/>
    <w:rsid w:val="00595267"/>
    <w:rsid w:val="0059627A"/>
    <w:rsid w:val="005A3C62"/>
    <w:rsid w:val="005A3F9F"/>
    <w:rsid w:val="005B377F"/>
    <w:rsid w:val="005B5904"/>
    <w:rsid w:val="005C1A3A"/>
    <w:rsid w:val="005C6158"/>
    <w:rsid w:val="005D2B4D"/>
    <w:rsid w:val="005F24EB"/>
    <w:rsid w:val="006103FC"/>
    <w:rsid w:val="0061259A"/>
    <w:rsid w:val="00612973"/>
    <w:rsid w:val="00614292"/>
    <w:rsid w:val="006260D2"/>
    <w:rsid w:val="00646A4C"/>
    <w:rsid w:val="00682E71"/>
    <w:rsid w:val="006D1744"/>
    <w:rsid w:val="00713AEB"/>
    <w:rsid w:val="0071437A"/>
    <w:rsid w:val="00722DED"/>
    <w:rsid w:val="0074623B"/>
    <w:rsid w:val="00757C21"/>
    <w:rsid w:val="0077355C"/>
    <w:rsid w:val="007B74C3"/>
    <w:rsid w:val="007B788C"/>
    <w:rsid w:val="007B7EFB"/>
    <w:rsid w:val="007C4A75"/>
    <w:rsid w:val="007D21DE"/>
    <w:rsid w:val="008009C0"/>
    <w:rsid w:val="00805BF3"/>
    <w:rsid w:val="00805D5A"/>
    <w:rsid w:val="00821C25"/>
    <w:rsid w:val="00826C27"/>
    <w:rsid w:val="00833676"/>
    <w:rsid w:val="00835A0D"/>
    <w:rsid w:val="00864940"/>
    <w:rsid w:val="00882B42"/>
    <w:rsid w:val="00893EDD"/>
    <w:rsid w:val="008A7BCD"/>
    <w:rsid w:val="008F53F7"/>
    <w:rsid w:val="008F5424"/>
    <w:rsid w:val="009062C6"/>
    <w:rsid w:val="00906A1C"/>
    <w:rsid w:val="009178FB"/>
    <w:rsid w:val="009321E0"/>
    <w:rsid w:val="0094008E"/>
    <w:rsid w:val="009410E5"/>
    <w:rsid w:val="00942560"/>
    <w:rsid w:val="00980051"/>
    <w:rsid w:val="00982AC3"/>
    <w:rsid w:val="00991C8C"/>
    <w:rsid w:val="00992537"/>
    <w:rsid w:val="009A1D61"/>
    <w:rsid w:val="009B66FF"/>
    <w:rsid w:val="009B7087"/>
    <w:rsid w:val="009B74D1"/>
    <w:rsid w:val="009C163F"/>
    <w:rsid w:val="009C6C3A"/>
    <w:rsid w:val="009D194E"/>
    <w:rsid w:val="009D45C4"/>
    <w:rsid w:val="009D5E48"/>
    <w:rsid w:val="009E59E2"/>
    <w:rsid w:val="00A05868"/>
    <w:rsid w:val="00A13D43"/>
    <w:rsid w:val="00A177CF"/>
    <w:rsid w:val="00A21132"/>
    <w:rsid w:val="00A25F95"/>
    <w:rsid w:val="00A35EA2"/>
    <w:rsid w:val="00A404BF"/>
    <w:rsid w:val="00A45363"/>
    <w:rsid w:val="00A531E2"/>
    <w:rsid w:val="00A55294"/>
    <w:rsid w:val="00A6180C"/>
    <w:rsid w:val="00A62436"/>
    <w:rsid w:val="00A66873"/>
    <w:rsid w:val="00AA6214"/>
    <w:rsid w:val="00AB5840"/>
    <w:rsid w:val="00AB6444"/>
    <w:rsid w:val="00AD6A7B"/>
    <w:rsid w:val="00AF516F"/>
    <w:rsid w:val="00B02918"/>
    <w:rsid w:val="00B05952"/>
    <w:rsid w:val="00B602B8"/>
    <w:rsid w:val="00B60A19"/>
    <w:rsid w:val="00B63EE1"/>
    <w:rsid w:val="00B64999"/>
    <w:rsid w:val="00B734CF"/>
    <w:rsid w:val="00B7413E"/>
    <w:rsid w:val="00B916C3"/>
    <w:rsid w:val="00BA5843"/>
    <w:rsid w:val="00BB345F"/>
    <w:rsid w:val="00BB64D0"/>
    <w:rsid w:val="00BC1BBB"/>
    <w:rsid w:val="00BF1302"/>
    <w:rsid w:val="00BF6ABE"/>
    <w:rsid w:val="00C21D5B"/>
    <w:rsid w:val="00C54635"/>
    <w:rsid w:val="00C6401D"/>
    <w:rsid w:val="00CA5B78"/>
    <w:rsid w:val="00CA77D4"/>
    <w:rsid w:val="00CC6EF1"/>
    <w:rsid w:val="00CE1794"/>
    <w:rsid w:val="00D04E55"/>
    <w:rsid w:val="00D059B8"/>
    <w:rsid w:val="00D31CF3"/>
    <w:rsid w:val="00D32D18"/>
    <w:rsid w:val="00D41FCE"/>
    <w:rsid w:val="00D9239A"/>
    <w:rsid w:val="00DA1D7B"/>
    <w:rsid w:val="00DB570F"/>
    <w:rsid w:val="00DC2592"/>
    <w:rsid w:val="00DD39BF"/>
    <w:rsid w:val="00DD5051"/>
    <w:rsid w:val="00DF4CC0"/>
    <w:rsid w:val="00DF70DE"/>
    <w:rsid w:val="00E07927"/>
    <w:rsid w:val="00E31712"/>
    <w:rsid w:val="00E32C0D"/>
    <w:rsid w:val="00E477B9"/>
    <w:rsid w:val="00E55550"/>
    <w:rsid w:val="00E57161"/>
    <w:rsid w:val="00E80A83"/>
    <w:rsid w:val="00E97090"/>
    <w:rsid w:val="00EC4C84"/>
    <w:rsid w:val="00ED5632"/>
    <w:rsid w:val="00ED6131"/>
    <w:rsid w:val="00EE4780"/>
    <w:rsid w:val="00EE4A1F"/>
    <w:rsid w:val="00F21B3B"/>
    <w:rsid w:val="00F620BA"/>
    <w:rsid w:val="00F709BF"/>
    <w:rsid w:val="00F72C16"/>
    <w:rsid w:val="00F8355A"/>
    <w:rsid w:val="00F84775"/>
    <w:rsid w:val="00FA15B8"/>
    <w:rsid w:val="00FA4138"/>
    <w:rsid w:val="00FE0713"/>
    <w:rsid w:val="00FF67A9"/>
    <w:rsid w:val="01186163"/>
    <w:rsid w:val="0143693F"/>
    <w:rsid w:val="019D4603"/>
    <w:rsid w:val="01C87818"/>
    <w:rsid w:val="02130775"/>
    <w:rsid w:val="02881E0B"/>
    <w:rsid w:val="02950A93"/>
    <w:rsid w:val="030D18C8"/>
    <w:rsid w:val="03D44496"/>
    <w:rsid w:val="04B51424"/>
    <w:rsid w:val="04E06D75"/>
    <w:rsid w:val="05F95B90"/>
    <w:rsid w:val="06BF13BA"/>
    <w:rsid w:val="075C176D"/>
    <w:rsid w:val="0A091B1B"/>
    <w:rsid w:val="0B605302"/>
    <w:rsid w:val="0D3870CE"/>
    <w:rsid w:val="0D3B3001"/>
    <w:rsid w:val="0EBE5404"/>
    <w:rsid w:val="0F7225DF"/>
    <w:rsid w:val="0FE34B24"/>
    <w:rsid w:val="10AE607F"/>
    <w:rsid w:val="116577BB"/>
    <w:rsid w:val="12D565D7"/>
    <w:rsid w:val="13010750"/>
    <w:rsid w:val="131D5A75"/>
    <w:rsid w:val="142253FB"/>
    <w:rsid w:val="14C25E4C"/>
    <w:rsid w:val="15176FD7"/>
    <w:rsid w:val="17BD2B3C"/>
    <w:rsid w:val="18886733"/>
    <w:rsid w:val="1888774C"/>
    <w:rsid w:val="18F17765"/>
    <w:rsid w:val="1A123A70"/>
    <w:rsid w:val="1B616B15"/>
    <w:rsid w:val="1B666CB1"/>
    <w:rsid w:val="1B921EE2"/>
    <w:rsid w:val="1CCA238B"/>
    <w:rsid w:val="1CDA4E25"/>
    <w:rsid w:val="1D9D36BE"/>
    <w:rsid w:val="1E7B339D"/>
    <w:rsid w:val="1F38014B"/>
    <w:rsid w:val="1F3928BC"/>
    <w:rsid w:val="1F4C71E0"/>
    <w:rsid w:val="1F6544CA"/>
    <w:rsid w:val="234930E7"/>
    <w:rsid w:val="234F26E4"/>
    <w:rsid w:val="25444A66"/>
    <w:rsid w:val="267F3D47"/>
    <w:rsid w:val="276E0DC5"/>
    <w:rsid w:val="28536FE0"/>
    <w:rsid w:val="28B94621"/>
    <w:rsid w:val="28FD21CA"/>
    <w:rsid w:val="297F5466"/>
    <w:rsid w:val="2A256726"/>
    <w:rsid w:val="2A3C405D"/>
    <w:rsid w:val="2AA62E82"/>
    <w:rsid w:val="2AD953E5"/>
    <w:rsid w:val="2B2858CA"/>
    <w:rsid w:val="2BFA4673"/>
    <w:rsid w:val="2C4C5E44"/>
    <w:rsid w:val="2E5756BF"/>
    <w:rsid w:val="2F7D6339"/>
    <w:rsid w:val="30DA0556"/>
    <w:rsid w:val="31016157"/>
    <w:rsid w:val="318E2F91"/>
    <w:rsid w:val="31CF685F"/>
    <w:rsid w:val="32746510"/>
    <w:rsid w:val="32F611A1"/>
    <w:rsid w:val="350544FD"/>
    <w:rsid w:val="3540073E"/>
    <w:rsid w:val="39CE50A0"/>
    <w:rsid w:val="3A8D47C0"/>
    <w:rsid w:val="3B870691"/>
    <w:rsid w:val="3BB26D75"/>
    <w:rsid w:val="3BCA7101"/>
    <w:rsid w:val="3D771F0D"/>
    <w:rsid w:val="3DAA586D"/>
    <w:rsid w:val="3DED6BC5"/>
    <w:rsid w:val="3E8E4499"/>
    <w:rsid w:val="406B4000"/>
    <w:rsid w:val="40741A04"/>
    <w:rsid w:val="40FD5F5E"/>
    <w:rsid w:val="41BF069E"/>
    <w:rsid w:val="421E3886"/>
    <w:rsid w:val="423D527E"/>
    <w:rsid w:val="42911D33"/>
    <w:rsid w:val="429B7977"/>
    <w:rsid w:val="43343C98"/>
    <w:rsid w:val="43663D19"/>
    <w:rsid w:val="4482717F"/>
    <w:rsid w:val="45644380"/>
    <w:rsid w:val="46335748"/>
    <w:rsid w:val="46EA2BF3"/>
    <w:rsid w:val="46ED7A5B"/>
    <w:rsid w:val="474D6D10"/>
    <w:rsid w:val="47630C50"/>
    <w:rsid w:val="47A65C47"/>
    <w:rsid w:val="48FB097F"/>
    <w:rsid w:val="49C73E1A"/>
    <w:rsid w:val="4A0067D1"/>
    <w:rsid w:val="4A0B0AFE"/>
    <w:rsid w:val="4A3A11F4"/>
    <w:rsid w:val="4F0663CE"/>
    <w:rsid w:val="4F0F3263"/>
    <w:rsid w:val="4F670EA4"/>
    <w:rsid w:val="4FD0002C"/>
    <w:rsid w:val="506B184D"/>
    <w:rsid w:val="51832895"/>
    <w:rsid w:val="51A05A56"/>
    <w:rsid w:val="526B3037"/>
    <w:rsid w:val="53A249CE"/>
    <w:rsid w:val="53EF74E3"/>
    <w:rsid w:val="543E18F6"/>
    <w:rsid w:val="548065E6"/>
    <w:rsid w:val="55A70716"/>
    <w:rsid w:val="55E609C7"/>
    <w:rsid w:val="56123415"/>
    <w:rsid w:val="568C0286"/>
    <w:rsid w:val="57B61732"/>
    <w:rsid w:val="581D5EB2"/>
    <w:rsid w:val="581F232F"/>
    <w:rsid w:val="58DF52AA"/>
    <w:rsid w:val="59CE4666"/>
    <w:rsid w:val="5A330A41"/>
    <w:rsid w:val="5B374138"/>
    <w:rsid w:val="5B602697"/>
    <w:rsid w:val="5C7E39EC"/>
    <w:rsid w:val="5C983330"/>
    <w:rsid w:val="5DB9023F"/>
    <w:rsid w:val="5DC545E8"/>
    <w:rsid w:val="5E1442C8"/>
    <w:rsid w:val="5E753D69"/>
    <w:rsid w:val="5ED92E70"/>
    <w:rsid w:val="606F6DC8"/>
    <w:rsid w:val="62736D4A"/>
    <w:rsid w:val="629D4533"/>
    <w:rsid w:val="6314713C"/>
    <w:rsid w:val="63471173"/>
    <w:rsid w:val="635B7675"/>
    <w:rsid w:val="644B5670"/>
    <w:rsid w:val="64896196"/>
    <w:rsid w:val="648E0C81"/>
    <w:rsid w:val="654C7BEB"/>
    <w:rsid w:val="65ED116B"/>
    <w:rsid w:val="668150FD"/>
    <w:rsid w:val="67F53661"/>
    <w:rsid w:val="681349F0"/>
    <w:rsid w:val="684F3401"/>
    <w:rsid w:val="689B7F59"/>
    <w:rsid w:val="69EF1C44"/>
    <w:rsid w:val="6A4D243B"/>
    <w:rsid w:val="6B166CD1"/>
    <w:rsid w:val="6B1B6720"/>
    <w:rsid w:val="6B351D0A"/>
    <w:rsid w:val="6CF859D4"/>
    <w:rsid w:val="6D285B1A"/>
    <w:rsid w:val="6D3B5EA7"/>
    <w:rsid w:val="6D7C3A46"/>
    <w:rsid w:val="6F3832C4"/>
    <w:rsid w:val="6FA55B9A"/>
    <w:rsid w:val="70226E99"/>
    <w:rsid w:val="705E593C"/>
    <w:rsid w:val="713218B7"/>
    <w:rsid w:val="716F2C97"/>
    <w:rsid w:val="717619C3"/>
    <w:rsid w:val="71D2715E"/>
    <w:rsid w:val="7321121D"/>
    <w:rsid w:val="74343D24"/>
    <w:rsid w:val="749916C1"/>
    <w:rsid w:val="75603854"/>
    <w:rsid w:val="7595097D"/>
    <w:rsid w:val="75AA39D6"/>
    <w:rsid w:val="76CC0DE3"/>
    <w:rsid w:val="76DE74A7"/>
    <w:rsid w:val="76EE540D"/>
    <w:rsid w:val="7809074E"/>
    <w:rsid w:val="78ED3304"/>
    <w:rsid w:val="79087374"/>
    <w:rsid w:val="79226841"/>
    <w:rsid w:val="799D2F6E"/>
    <w:rsid w:val="79A921CB"/>
    <w:rsid w:val="7A04291A"/>
    <w:rsid w:val="7B2965AD"/>
    <w:rsid w:val="7B8A5282"/>
    <w:rsid w:val="7BC13821"/>
    <w:rsid w:val="7BC33344"/>
    <w:rsid w:val="7D3A5D16"/>
    <w:rsid w:val="7D910137"/>
    <w:rsid w:val="7E5C65C8"/>
    <w:rsid w:val="7ED643F3"/>
    <w:rsid w:val="7FE37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qFormat/>
    <w:uiPriority w:val="0"/>
    <w:pPr>
      <w:jc w:val="left"/>
    </w:pPr>
  </w:style>
  <w:style w:type="paragraph" w:styleId="4">
    <w:name w:val="Body Text"/>
    <w:basedOn w:val="1"/>
    <w:link w:val="27"/>
    <w:qFormat/>
    <w:uiPriority w:val="0"/>
    <w:pPr>
      <w:autoSpaceDE w:val="0"/>
      <w:autoSpaceDN w:val="0"/>
      <w:ind w:left="1040"/>
      <w:jc w:val="left"/>
    </w:pPr>
    <w:rPr>
      <w:rFonts w:ascii="Noto Sans CJK JP Regular" w:hAnsi="Noto Sans CJK JP Regular" w:eastAsia="Noto Sans CJK JP Regular" w:cs="Noto Sans CJK JP Regular"/>
      <w:kern w:val="0"/>
      <w:sz w:val="24"/>
      <w:lang w:eastAsia="en-US"/>
    </w:rPr>
  </w:style>
  <w:style w:type="paragraph" w:styleId="5">
    <w:name w:val="Body Text Indent"/>
    <w:basedOn w:val="1"/>
    <w:next w:val="6"/>
    <w:unhideWhenUsed/>
    <w:qFormat/>
    <w:uiPriority w:val="99"/>
    <w:pPr>
      <w:spacing w:after="120"/>
      <w:ind w:left="420" w:leftChars="200"/>
    </w:pPr>
  </w:style>
  <w:style w:type="paragraph" w:styleId="6">
    <w:name w:val="envelope return"/>
    <w:next w:val="7"/>
    <w:qFormat/>
    <w:uiPriority w:val="0"/>
    <w:pPr>
      <w:widowControl w:val="0"/>
      <w:snapToGrid w:val="0"/>
      <w:spacing w:line="360" w:lineRule="auto"/>
      <w:ind w:firstLine="482" w:firstLineChars="200"/>
      <w:jc w:val="both"/>
    </w:pPr>
    <w:rPr>
      <w:rFonts w:ascii="Arial" w:hAnsi="Arial" w:eastAsia="宋体" w:cstheme="minorBidi"/>
      <w:kern w:val="2"/>
      <w:sz w:val="24"/>
      <w:szCs w:val="22"/>
      <w:lang w:val="en-US" w:eastAsia="zh-CN" w:bidi="ar-SA"/>
    </w:rPr>
  </w:style>
  <w:style w:type="paragraph" w:styleId="7">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cs="Courier New"/>
      <w:szCs w:val="21"/>
    </w:rPr>
  </w:style>
  <w:style w:type="paragraph" w:styleId="10">
    <w:name w:val="Balloon Text"/>
    <w:basedOn w:val="1"/>
    <w:link w:val="26"/>
    <w:qFormat/>
    <w:uiPriority w:val="0"/>
    <w:rPr>
      <w:sz w:val="18"/>
      <w:szCs w:val="18"/>
    </w:rPr>
  </w:style>
  <w:style w:type="paragraph" w:styleId="11">
    <w:name w:val="footer"/>
    <w:link w:val="28"/>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toc 1"/>
    <w:next w:val="1"/>
    <w:qFormat/>
    <w:uiPriority w:val="39"/>
    <w:pPr>
      <w:widowControl w:val="0"/>
      <w:spacing w:before="120" w:after="120"/>
    </w:pPr>
    <w:rPr>
      <w:rFonts w:ascii="等线" w:hAnsi="Times New Roman" w:eastAsia="等线" w:cs="Times New Roman"/>
      <w:b/>
      <w:bCs/>
      <w:caps/>
      <w:kern w:val="2"/>
      <w:lang w:val="en-US" w:eastAsia="zh-CN" w:bidi="ar-SA"/>
    </w:rPr>
  </w:style>
  <w:style w:type="paragraph" w:styleId="13">
    <w:name w:val="toc 2"/>
    <w:next w:val="1"/>
    <w:qFormat/>
    <w:uiPriority w:val="39"/>
    <w:pPr>
      <w:widowControl w:val="0"/>
      <w:ind w:left="210"/>
    </w:pPr>
    <w:rPr>
      <w:rFonts w:ascii="等线" w:hAnsi="Times New Roman" w:eastAsia="等线" w:cs="Times New Roman"/>
      <w:smallCaps/>
      <w:kern w:val="2"/>
      <w:lang w:val="en-US" w:eastAsia="zh-CN" w:bidi="ar-SA"/>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3"/>
    <w:next w:val="3"/>
    <w:link w:val="38"/>
    <w:qFormat/>
    <w:uiPriority w:val="0"/>
    <w:rPr>
      <w:b/>
      <w:bCs/>
    </w:rPr>
  </w:style>
  <w:style w:type="paragraph" w:styleId="16">
    <w:name w:val="Body Text First Indent 2"/>
    <w:basedOn w:val="5"/>
    <w:next w:val="1"/>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99"/>
    <w:rPr>
      <w:rFonts w:cs="Times New Roman"/>
      <w:color w:val="0000FF"/>
      <w:spacing w:val="0"/>
      <w:w w:val="100"/>
      <w:sz w:val="21"/>
      <w:u w:val="single"/>
    </w:rPr>
  </w:style>
  <w:style w:type="character" w:styleId="21">
    <w:name w:val="annotation reference"/>
    <w:basedOn w:val="19"/>
    <w:qFormat/>
    <w:uiPriority w:val="0"/>
    <w:rPr>
      <w:sz w:val="21"/>
      <w:szCs w:val="21"/>
    </w:rPr>
  </w:style>
  <w:style w:type="paragraph" w:customStyle="1" w:styleId="22">
    <w:name w:val="正文 New"/>
    <w:qFormat/>
    <w:uiPriority w:val="0"/>
    <w:pPr>
      <w:widowControl w:val="0"/>
      <w:spacing w:beforeLines="50" w:afterLines="50" w:line="440" w:lineRule="exact"/>
      <w:ind w:firstLine="640" w:firstLineChars="200"/>
      <w:jc w:val="both"/>
    </w:pPr>
    <w:rPr>
      <w:rFonts w:ascii="Times New Roman" w:hAnsi="Times New Roman" w:eastAsia="宋体" w:cs="Times New Roman"/>
      <w:sz w:val="24"/>
      <w:szCs w:val="24"/>
      <w:lang w:val="en-US" w:eastAsia="zh-CN" w:bidi="ar-SA"/>
    </w:rPr>
  </w:style>
  <w:style w:type="paragraph" w:customStyle="1" w:styleId="23">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4">
    <w:name w:val="表格内容"/>
    <w:qFormat/>
    <w:uiPriority w:val="99"/>
    <w:pPr>
      <w:spacing w:line="300" w:lineRule="auto"/>
    </w:pPr>
    <w:rPr>
      <w:rFonts w:ascii="宋体" w:hAnsi="Times New Roman" w:eastAsia="宋体" w:cs="宋体"/>
      <w:spacing w:val="-2"/>
      <w:sz w:val="18"/>
      <w:szCs w:val="18"/>
      <w:lang w:val="en-US" w:eastAsia="zh-CN" w:bidi="ar-SA"/>
    </w:rPr>
  </w:style>
  <w:style w:type="paragraph" w:customStyle="1" w:styleId="25">
    <w:name w:val="样式2"/>
    <w:qFormat/>
    <w:uiPriority w:val="99"/>
    <w:pPr>
      <w:widowControl w:val="0"/>
      <w:spacing w:line="440" w:lineRule="exact"/>
      <w:ind w:firstLine="480" w:firstLineChars="200"/>
      <w:jc w:val="both"/>
    </w:pPr>
    <w:rPr>
      <w:rFonts w:ascii="黑体" w:hAnsi="宋体" w:eastAsia="黑体" w:cs="黑体"/>
      <w:kern w:val="2"/>
      <w:sz w:val="24"/>
      <w:szCs w:val="24"/>
      <w:lang w:val="en-US" w:eastAsia="zh-CN" w:bidi="ar-SA"/>
    </w:rPr>
  </w:style>
  <w:style w:type="character" w:customStyle="1" w:styleId="26">
    <w:name w:val="批注框文本 Char"/>
    <w:basedOn w:val="19"/>
    <w:link w:val="10"/>
    <w:qFormat/>
    <w:uiPriority w:val="0"/>
    <w:rPr>
      <w:kern w:val="2"/>
      <w:sz w:val="18"/>
      <w:szCs w:val="18"/>
    </w:rPr>
  </w:style>
  <w:style w:type="character" w:customStyle="1" w:styleId="27">
    <w:name w:val="正文文本 Char"/>
    <w:basedOn w:val="19"/>
    <w:link w:val="4"/>
    <w:qFormat/>
    <w:uiPriority w:val="0"/>
    <w:rPr>
      <w:rFonts w:ascii="Noto Sans CJK JP Regular" w:hAnsi="Noto Sans CJK JP Regular" w:eastAsia="Noto Sans CJK JP Regular" w:cs="Noto Sans CJK JP Regular"/>
      <w:sz w:val="24"/>
      <w:szCs w:val="24"/>
      <w:lang w:eastAsia="en-US"/>
    </w:rPr>
  </w:style>
  <w:style w:type="character" w:customStyle="1" w:styleId="28">
    <w:name w:val="页脚 Char"/>
    <w:basedOn w:val="19"/>
    <w:link w:val="11"/>
    <w:qFormat/>
    <w:uiPriority w:val="99"/>
    <w:rPr>
      <w:rFonts w:ascii="Times New Roman" w:hAnsi="Times New Roman" w:eastAsia="宋体" w:cs="Times New Roman"/>
      <w:kern w:val="2"/>
      <w:sz w:val="18"/>
      <w:szCs w:val="18"/>
    </w:rPr>
  </w:style>
  <w:style w:type="paragraph" w:customStyle="1" w:styleId="29">
    <w:name w:val="列出段落1"/>
    <w:basedOn w:val="1"/>
    <w:qFormat/>
    <w:uiPriority w:val="0"/>
    <w:pPr>
      <w:ind w:firstLine="420" w:firstLineChars="200"/>
    </w:pPr>
  </w:style>
  <w:style w:type="character" w:customStyle="1" w:styleId="30">
    <w:name w:val="font01"/>
    <w:basedOn w:val="19"/>
    <w:qFormat/>
    <w:uiPriority w:val="0"/>
    <w:rPr>
      <w:rFonts w:ascii="Times New Roman" w:hAnsi="Times New Roman" w:cs="Times New Roman"/>
      <w:b/>
      <w:color w:val="000000"/>
      <w:sz w:val="24"/>
      <w:szCs w:val="24"/>
      <w:u w:val="none"/>
    </w:rPr>
  </w:style>
  <w:style w:type="character" w:customStyle="1" w:styleId="31">
    <w:name w:val="fontstyle01"/>
    <w:basedOn w:val="19"/>
    <w:qFormat/>
    <w:uiPriority w:val="0"/>
    <w:rPr>
      <w:rFonts w:hint="eastAsia" w:ascii="宋体" w:hAnsi="宋体" w:eastAsia="宋体"/>
      <w:color w:val="000000"/>
      <w:sz w:val="22"/>
      <w:szCs w:val="22"/>
    </w:rPr>
  </w:style>
  <w:style w:type="character" w:customStyle="1" w:styleId="32">
    <w:name w:val="fontstyle21"/>
    <w:basedOn w:val="19"/>
    <w:qFormat/>
    <w:uiPriority w:val="0"/>
    <w:rPr>
      <w:rFonts w:hint="eastAsia" w:ascii="黑体" w:hAnsi="黑体" w:eastAsia="黑体"/>
      <w:color w:val="000000"/>
      <w:sz w:val="22"/>
      <w:szCs w:val="22"/>
    </w:rPr>
  </w:style>
  <w:style w:type="character" w:customStyle="1" w:styleId="33">
    <w:name w:val="页眉 Char"/>
    <w:basedOn w:val="19"/>
    <w:link w:val="7"/>
    <w:qFormat/>
    <w:uiPriority w:val="99"/>
    <w:rPr>
      <w:rFonts w:asciiTheme="minorHAnsi" w:hAnsiTheme="minorHAnsi" w:eastAsiaTheme="minorEastAsia" w:cstheme="minorBidi"/>
      <w:kern w:val="2"/>
      <w:sz w:val="18"/>
      <w:szCs w:val="24"/>
    </w:rPr>
  </w:style>
  <w:style w:type="paragraph" w:styleId="34">
    <w:name w:val="List Paragraph"/>
    <w:basedOn w:val="1"/>
    <w:unhideWhenUsed/>
    <w:qFormat/>
    <w:uiPriority w:val="99"/>
    <w:pPr>
      <w:ind w:firstLine="420" w:firstLineChars="200"/>
    </w:pPr>
  </w:style>
  <w:style w:type="paragraph" w:customStyle="1" w:styleId="3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link w:val="35"/>
    <w:qFormat/>
    <w:locked/>
    <w:uiPriority w:val="0"/>
    <w:rPr>
      <w:rFonts w:ascii="宋体"/>
      <w:sz w:val="21"/>
    </w:rPr>
  </w:style>
  <w:style w:type="character" w:customStyle="1" w:styleId="37">
    <w:name w:val="批注文字 Char"/>
    <w:basedOn w:val="19"/>
    <w:link w:val="3"/>
    <w:qFormat/>
    <w:uiPriority w:val="0"/>
    <w:rPr>
      <w:rFonts w:asciiTheme="minorHAnsi" w:hAnsiTheme="minorHAnsi" w:eastAsiaTheme="minorEastAsia" w:cstheme="minorBidi"/>
      <w:kern w:val="2"/>
      <w:sz w:val="21"/>
      <w:szCs w:val="24"/>
    </w:rPr>
  </w:style>
  <w:style w:type="character" w:customStyle="1" w:styleId="38">
    <w:name w:val="批注主题 Char"/>
    <w:basedOn w:val="37"/>
    <w:link w:val="15"/>
    <w:qFormat/>
    <w:uiPriority w:val="0"/>
    <w:rPr>
      <w:rFonts w:asciiTheme="minorHAnsi" w:hAnsiTheme="minorHAnsi" w:eastAsiaTheme="minorEastAsia" w:cstheme="minorBidi"/>
      <w:b/>
      <w:bCs/>
      <w:kern w:val="2"/>
      <w:sz w:val="21"/>
      <w:szCs w:val="24"/>
    </w:rPr>
  </w:style>
  <w:style w:type="table" w:customStyle="1" w:styleId="39">
    <w:name w:val="TableGrid"/>
    <w:qFormat/>
    <w:uiPriority w:val="0"/>
    <w:tblPr>
      <w:tblCellMar>
        <w:top w:w="0" w:type="dxa"/>
        <w:left w:w="0" w:type="dxa"/>
        <w:bottom w:w="0" w:type="dxa"/>
        <w:right w:w="0" w:type="dxa"/>
      </w:tblCellMar>
    </w:tblPr>
  </w:style>
  <w:style w:type="paragraph" w:customStyle="1" w:styleId="40">
    <w:name w:val="报告正文格式1"/>
    <w:basedOn w:val="1"/>
    <w:qFormat/>
    <w:uiPriority w:val="0"/>
    <w:pPr>
      <w:spacing w:line="360" w:lineRule="auto"/>
      <w:jc w:val="left"/>
    </w:pPr>
    <w:rPr>
      <w:rFonts w:eastAsia="仿宋"/>
      <w:bC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52EC-91C7-461D-B516-0EA1B7365CED}">
  <ds:schemaRefs/>
</ds:datastoreItem>
</file>

<file path=docProps/app.xml><?xml version="1.0" encoding="utf-8"?>
<Properties xmlns="http://schemas.openxmlformats.org/officeDocument/2006/extended-properties" xmlns:vt="http://schemas.openxmlformats.org/officeDocument/2006/docPropsVTypes">
  <Template>Normal</Template>
  <Pages>15</Pages>
  <Words>1513</Words>
  <Characters>8627</Characters>
  <Lines>71</Lines>
  <Paragraphs>20</Paragraphs>
  <TotalTime>0</TotalTime>
  <ScaleCrop>false</ScaleCrop>
  <LinksUpToDate>false</LinksUpToDate>
  <CharactersWithSpaces>10120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2020-08-19T07:05:00Z</dcterms:created>
  <dc:creator>Administrator</dc:creator>
  <cp:lastModifiedBy>WPS_1667292235</cp:lastModifiedBy>
  <dcterms:modified xsi:type="dcterms:W3CDTF">2023-07-24T05:42:55Z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B883AA9055054E09A7EF0F9AD756038D</vt:lpwstr>
  </property>
</Properties>
</file>